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3B" w:rsidRDefault="00123B3B" w:rsidP="00A44709">
      <w:pPr>
        <w:jc w:val="center"/>
      </w:pPr>
    </w:p>
    <w:p w:rsidR="00123B3B" w:rsidRDefault="00123B3B" w:rsidP="00A44709">
      <w:pPr>
        <w:jc w:val="center"/>
      </w:pPr>
    </w:p>
    <w:p w:rsidR="00123B3B" w:rsidRDefault="00123B3B" w:rsidP="00A44709">
      <w:pPr>
        <w:jc w:val="center"/>
      </w:pPr>
      <w:r w:rsidRPr="00684BF6">
        <w:rPr>
          <w:rFonts w:ascii="Arial" w:hAnsi="Arial" w:cs="Arial"/>
          <w:noProof/>
          <w:lang w:eastAsia="en-ZA"/>
        </w:rPr>
        <w:drawing>
          <wp:inline distT="0" distB="0" distL="0" distR="0" wp14:anchorId="4399C359" wp14:editId="7CE7FE8E">
            <wp:extent cx="2482242"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795" cy="2247683"/>
                    </a:xfrm>
                    <a:prstGeom prst="rect">
                      <a:avLst/>
                    </a:prstGeom>
                    <a:noFill/>
                  </pic:spPr>
                </pic:pic>
              </a:graphicData>
            </a:graphic>
          </wp:inline>
        </w:drawing>
      </w:r>
    </w:p>
    <w:p w:rsidR="00123B3B" w:rsidRDefault="00123B3B" w:rsidP="00A44709">
      <w:pPr>
        <w:jc w:val="center"/>
      </w:pPr>
    </w:p>
    <w:p w:rsidR="00123B3B" w:rsidRDefault="00123B3B" w:rsidP="00A44709">
      <w:pPr>
        <w:jc w:val="center"/>
      </w:pPr>
    </w:p>
    <w:p w:rsidR="00957635" w:rsidRPr="00123B3B" w:rsidRDefault="00A44709" w:rsidP="00123B3B">
      <w:pPr>
        <w:spacing w:line="360" w:lineRule="auto"/>
        <w:jc w:val="center"/>
        <w:rPr>
          <w:rFonts w:ascii="Arial" w:hAnsi="Arial" w:cs="Arial"/>
          <w:b/>
        </w:rPr>
      </w:pPr>
      <w:r w:rsidRPr="00123B3B">
        <w:rPr>
          <w:rFonts w:ascii="Arial" w:hAnsi="Arial" w:cs="Arial"/>
          <w:b/>
        </w:rPr>
        <w:t>RULES GOVERNING PROCE</w:t>
      </w:r>
      <w:r w:rsidR="00123B3B" w:rsidRPr="00123B3B">
        <w:rPr>
          <w:rFonts w:ascii="Arial" w:hAnsi="Arial" w:cs="Arial"/>
          <w:b/>
        </w:rPr>
        <w:t>E</w:t>
      </w:r>
      <w:r w:rsidRPr="00123B3B">
        <w:rPr>
          <w:rFonts w:ascii="Arial" w:hAnsi="Arial" w:cs="Arial"/>
          <w:b/>
        </w:rPr>
        <w:t>DINGS</w:t>
      </w:r>
    </w:p>
    <w:p w:rsidR="00A44709" w:rsidRPr="00123B3B" w:rsidRDefault="00A44709" w:rsidP="00123B3B">
      <w:pPr>
        <w:spacing w:line="360" w:lineRule="auto"/>
        <w:jc w:val="center"/>
        <w:rPr>
          <w:rFonts w:ascii="Arial" w:hAnsi="Arial" w:cs="Arial"/>
          <w:b/>
        </w:rPr>
      </w:pPr>
    </w:p>
    <w:p w:rsidR="00A44709" w:rsidRPr="00123B3B" w:rsidRDefault="00A44709" w:rsidP="00123B3B">
      <w:pPr>
        <w:spacing w:line="360" w:lineRule="auto"/>
        <w:jc w:val="center"/>
        <w:rPr>
          <w:rFonts w:ascii="Arial" w:hAnsi="Arial" w:cs="Arial"/>
          <w:b/>
        </w:rPr>
      </w:pPr>
      <w:r w:rsidRPr="00123B3B">
        <w:rPr>
          <w:rFonts w:ascii="Arial" w:hAnsi="Arial" w:cs="Arial"/>
          <w:b/>
        </w:rPr>
        <w:t>OF</w:t>
      </w:r>
    </w:p>
    <w:p w:rsidR="00A44709" w:rsidRPr="00123B3B" w:rsidRDefault="00A44709" w:rsidP="00123B3B">
      <w:pPr>
        <w:spacing w:line="360" w:lineRule="auto"/>
        <w:jc w:val="center"/>
        <w:rPr>
          <w:rFonts w:ascii="Arial" w:hAnsi="Arial" w:cs="Arial"/>
          <w:b/>
        </w:rPr>
      </w:pPr>
    </w:p>
    <w:p w:rsidR="00A44709" w:rsidRDefault="00A44709" w:rsidP="00123B3B">
      <w:pPr>
        <w:spacing w:line="360" w:lineRule="auto"/>
        <w:jc w:val="center"/>
        <w:rPr>
          <w:rFonts w:ascii="Arial" w:hAnsi="Arial" w:cs="Arial"/>
          <w:b/>
        </w:rPr>
      </w:pPr>
      <w:r w:rsidRPr="00123B3B">
        <w:rPr>
          <w:rFonts w:ascii="Arial" w:hAnsi="Arial" w:cs="Arial"/>
          <w:b/>
        </w:rPr>
        <w:t>THE</w:t>
      </w:r>
      <w:r w:rsidR="00123B3B" w:rsidRPr="00123B3B">
        <w:rPr>
          <w:rFonts w:ascii="Arial" w:hAnsi="Arial" w:cs="Arial"/>
          <w:b/>
        </w:rPr>
        <w:t xml:space="preserve"> SOUTH AFRICAN HUMAN RIGHTS COMMISSION</w:t>
      </w:r>
      <w:r w:rsidRPr="00123B3B">
        <w:rPr>
          <w:rFonts w:ascii="Arial" w:hAnsi="Arial" w:cs="Arial"/>
          <w:b/>
        </w:rPr>
        <w:t xml:space="preserve"> NATION</w:t>
      </w:r>
      <w:r w:rsidR="00123B3B" w:rsidRPr="00123B3B">
        <w:rPr>
          <w:rFonts w:ascii="Arial" w:hAnsi="Arial" w:cs="Arial"/>
          <w:b/>
        </w:rPr>
        <w:t>AL</w:t>
      </w:r>
      <w:r w:rsidRPr="00123B3B">
        <w:rPr>
          <w:rFonts w:ascii="Arial" w:hAnsi="Arial" w:cs="Arial"/>
          <w:b/>
        </w:rPr>
        <w:t xml:space="preserve"> INVESTIGATIVE HEARING INTO </w:t>
      </w:r>
      <w:r w:rsidR="00123B3B" w:rsidRPr="00123B3B">
        <w:rPr>
          <w:rFonts w:ascii="Arial" w:hAnsi="Arial" w:cs="Arial"/>
          <w:b/>
        </w:rPr>
        <w:t xml:space="preserve">THE </w:t>
      </w:r>
      <w:r w:rsidRPr="00123B3B">
        <w:rPr>
          <w:rFonts w:ascii="Arial" w:hAnsi="Arial" w:cs="Arial"/>
          <w:b/>
        </w:rPr>
        <w:t>JULY UNREST</w:t>
      </w:r>
      <w:r w:rsidR="00123B3B" w:rsidRPr="00123B3B">
        <w:rPr>
          <w:rFonts w:ascii="Arial" w:hAnsi="Arial" w:cs="Arial"/>
          <w:b/>
        </w:rPr>
        <w:t xml:space="preserve"> ESPECIALLY IN GAUTENG AND KWAZULU-NATAL PROVINCE</w:t>
      </w:r>
      <w:r w:rsidR="00123B3B">
        <w:rPr>
          <w:rFonts w:ascii="Arial" w:hAnsi="Arial" w:cs="Arial"/>
          <w:b/>
        </w:rPr>
        <w:t>S</w:t>
      </w:r>
    </w:p>
    <w:p w:rsidR="00123B3B" w:rsidRDefault="00123B3B" w:rsidP="00123B3B">
      <w:pPr>
        <w:spacing w:line="360" w:lineRule="auto"/>
        <w:jc w:val="center"/>
        <w:rPr>
          <w:rFonts w:ascii="Arial" w:hAnsi="Arial" w:cs="Arial"/>
          <w:b/>
        </w:rPr>
      </w:pPr>
    </w:p>
    <w:p w:rsidR="00123B3B" w:rsidRDefault="00123B3B" w:rsidP="00123B3B">
      <w:pPr>
        <w:spacing w:line="360" w:lineRule="auto"/>
        <w:jc w:val="center"/>
        <w:rPr>
          <w:rFonts w:ascii="Arial" w:hAnsi="Arial" w:cs="Arial"/>
          <w:b/>
        </w:rPr>
      </w:pPr>
    </w:p>
    <w:p w:rsidR="00123B3B" w:rsidRDefault="00123B3B" w:rsidP="00123B3B">
      <w:pPr>
        <w:spacing w:line="360" w:lineRule="auto"/>
        <w:jc w:val="center"/>
        <w:rPr>
          <w:rFonts w:ascii="Arial" w:hAnsi="Arial" w:cs="Arial"/>
          <w:b/>
        </w:rPr>
      </w:pPr>
    </w:p>
    <w:p w:rsidR="00123B3B" w:rsidRDefault="00123B3B" w:rsidP="00A10083">
      <w:pPr>
        <w:spacing w:line="360" w:lineRule="auto"/>
        <w:rPr>
          <w:rFonts w:ascii="Arial" w:hAnsi="Arial" w:cs="Arial"/>
          <w:b/>
        </w:rPr>
      </w:pPr>
    </w:p>
    <w:p w:rsidR="00123B3B" w:rsidRDefault="00123B3B" w:rsidP="00123B3B">
      <w:pPr>
        <w:spacing w:line="360" w:lineRule="auto"/>
        <w:jc w:val="center"/>
        <w:rPr>
          <w:rFonts w:ascii="Arial" w:hAnsi="Arial" w:cs="Arial"/>
          <w:b/>
        </w:rPr>
      </w:pPr>
      <w:r>
        <w:rPr>
          <w:rFonts w:ascii="Arial" w:hAnsi="Arial" w:cs="Arial"/>
          <w:b/>
        </w:rPr>
        <w:t>[OCTOBER 2021]</w:t>
      </w:r>
    </w:p>
    <w:p w:rsidR="00123B3B" w:rsidRDefault="00123B3B" w:rsidP="00123B3B">
      <w:pPr>
        <w:spacing w:line="360" w:lineRule="auto"/>
        <w:jc w:val="center"/>
        <w:rPr>
          <w:rFonts w:ascii="Arial" w:hAnsi="Arial" w:cs="Arial"/>
          <w:b/>
        </w:rPr>
      </w:pPr>
    </w:p>
    <w:p w:rsidR="00123B3B" w:rsidRDefault="00123B3B" w:rsidP="00123B3B">
      <w:pPr>
        <w:spacing w:line="360" w:lineRule="auto"/>
        <w:jc w:val="center"/>
        <w:rPr>
          <w:rFonts w:ascii="Arial" w:hAnsi="Arial" w:cs="Arial"/>
          <w:b/>
        </w:rPr>
      </w:pPr>
    </w:p>
    <w:p w:rsidR="00123B3B" w:rsidRDefault="00123B3B" w:rsidP="00123B3B">
      <w:pPr>
        <w:spacing w:line="360" w:lineRule="auto"/>
        <w:jc w:val="center"/>
        <w:rPr>
          <w:rFonts w:ascii="Arial" w:hAnsi="Arial" w:cs="Arial"/>
          <w:b/>
        </w:rPr>
      </w:pPr>
    </w:p>
    <w:p w:rsidR="00123B3B" w:rsidRDefault="00123B3B" w:rsidP="00123B3B">
      <w:pPr>
        <w:spacing w:line="360" w:lineRule="auto"/>
        <w:jc w:val="center"/>
        <w:rPr>
          <w:rFonts w:ascii="Arial" w:hAnsi="Arial" w:cs="Arial"/>
          <w:b/>
        </w:rPr>
      </w:pPr>
    </w:p>
    <w:p w:rsidR="0040159B" w:rsidRDefault="00123B3B" w:rsidP="00123B3B">
      <w:pPr>
        <w:spacing w:line="360" w:lineRule="auto"/>
        <w:rPr>
          <w:rFonts w:ascii="Arial" w:hAnsi="Arial" w:cs="Arial"/>
          <w:b/>
        </w:rPr>
      </w:pPr>
      <w:r>
        <w:rPr>
          <w:rFonts w:ascii="Arial" w:hAnsi="Arial" w:cs="Arial"/>
          <w:b/>
        </w:rPr>
        <w:t>Introduction</w:t>
      </w:r>
    </w:p>
    <w:p w:rsidR="0040159B" w:rsidRPr="000B42D7" w:rsidRDefault="0040159B" w:rsidP="000B42D7">
      <w:pPr>
        <w:spacing w:line="360" w:lineRule="auto"/>
        <w:jc w:val="both"/>
        <w:rPr>
          <w:rFonts w:ascii="Arial" w:hAnsi="Arial" w:cs="Arial"/>
        </w:rPr>
      </w:pPr>
      <w:r w:rsidRPr="0040159B">
        <w:rPr>
          <w:rFonts w:ascii="Arial" w:hAnsi="Arial" w:cs="Arial"/>
        </w:rPr>
        <w:t>In</w:t>
      </w:r>
      <w:r>
        <w:rPr>
          <w:rFonts w:ascii="Arial" w:hAnsi="Arial" w:cs="Arial"/>
        </w:rPr>
        <w:t xml:space="preserve"> July 2021, civil unrest occurred in South Africa’s KwaZulu-Natal and Gauteng provinces resulting in</w:t>
      </w:r>
      <w:r w:rsidR="000B42D7">
        <w:rPr>
          <w:rFonts w:ascii="Arial" w:hAnsi="Arial" w:cs="Arial"/>
        </w:rPr>
        <w:t xml:space="preserve"> widespread looting and riots. </w:t>
      </w:r>
    </w:p>
    <w:p w:rsidR="00C63A91" w:rsidRDefault="00786B47" w:rsidP="00C63A91">
      <w:pPr>
        <w:pStyle w:val="Body"/>
        <w:suppressAutoHyphens/>
        <w:spacing w:after="0" w:line="360" w:lineRule="auto"/>
        <w:jc w:val="both"/>
        <w:rPr>
          <w:rFonts w:ascii="Arial" w:hAnsi="Arial"/>
          <w:lang w:val="en-US"/>
        </w:rPr>
      </w:pPr>
      <w:r>
        <w:rPr>
          <w:rFonts w:ascii="Arial" w:hAnsi="Arial"/>
          <w:lang w:val="en-US"/>
        </w:rPr>
        <w:t xml:space="preserve">Following the South African Human Rights Commission’s (Commission) site inspections in KwaZulu-Natal and Gauteng and a national </w:t>
      </w:r>
      <w:r w:rsidRPr="00786B47">
        <w:rPr>
          <w:rFonts w:ascii="Arial" w:hAnsi="Arial"/>
          <w:i/>
          <w:lang w:val="en-US"/>
        </w:rPr>
        <w:t>imbizo</w:t>
      </w:r>
      <w:r>
        <w:rPr>
          <w:rFonts w:ascii="Arial" w:hAnsi="Arial"/>
          <w:lang w:val="en-US"/>
        </w:rPr>
        <w:t xml:space="preserve">, the Commission resolved to convene a National Investigative Hearing to address some of the concerns emerging from the unrest that gripped the country and the July </w:t>
      </w:r>
      <w:r w:rsidRPr="00786B47">
        <w:rPr>
          <w:rFonts w:ascii="Arial" w:hAnsi="Arial"/>
          <w:i/>
          <w:lang w:val="en-US"/>
        </w:rPr>
        <w:t>imbizo</w:t>
      </w:r>
      <w:r>
        <w:rPr>
          <w:rFonts w:ascii="Arial" w:hAnsi="Arial"/>
          <w:lang w:val="en-US"/>
        </w:rPr>
        <w:t xml:space="preserve">. The findings of the National Investigative Hearing will inform the Commission’s recommendations and directives.  </w:t>
      </w:r>
    </w:p>
    <w:p w:rsidR="00C63A91" w:rsidRDefault="00C63A91" w:rsidP="00C63A91">
      <w:pPr>
        <w:pStyle w:val="Body"/>
        <w:suppressAutoHyphens/>
        <w:spacing w:after="0" w:line="360" w:lineRule="auto"/>
        <w:jc w:val="both"/>
        <w:rPr>
          <w:rFonts w:ascii="Arial" w:hAnsi="Arial"/>
          <w:lang w:val="en-US"/>
        </w:rPr>
      </w:pPr>
    </w:p>
    <w:p w:rsidR="00786B47" w:rsidRPr="00C63A91" w:rsidRDefault="00C63A91" w:rsidP="00C63A91">
      <w:pPr>
        <w:pStyle w:val="Body"/>
        <w:suppressAutoHyphens/>
        <w:spacing w:after="0" w:line="360" w:lineRule="auto"/>
        <w:jc w:val="both"/>
        <w:rPr>
          <w:rFonts w:ascii="Arial" w:hAnsi="Arial"/>
          <w:lang w:val="en-US"/>
        </w:rPr>
      </w:pPr>
      <w:r w:rsidRPr="00C63A91">
        <w:rPr>
          <w:rFonts w:ascii="Arial" w:eastAsiaTheme="minorEastAsia" w:hAnsi="Arial" w:cs="Arial"/>
          <w:lang w:val="en-GB" w:eastAsia="en-GB"/>
        </w:rPr>
        <w:t xml:space="preserve">Section 15 of the </w:t>
      </w:r>
      <w:r w:rsidRPr="00786B47">
        <w:rPr>
          <w:rFonts w:ascii="Arial" w:hAnsi="Arial" w:cs="Arial"/>
          <w:bCs/>
        </w:rPr>
        <w:t>S</w:t>
      </w:r>
      <w:r>
        <w:rPr>
          <w:rFonts w:ascii="Arial" w:hAnsi="Arial" w:cs="Arial"/>
          <w:bCs/>
        </w:rPr>
        <w:t xml:space="preserve">outh </w:t>
      </w:r>
      <w:r w:rsidRPr="00786B47">
        <w:rPr>
          <w:rFonts w:ascii="Arial" w:hAnsi="Arial" w:cs="Arial"/>
          <w:bCs/>
        </w:rPr>
        <w:t>A</w:t>
      </w:r>
      <w:r>
        <w:rPr>
          <w:rFonts w:ascii="Arial" w:hAnsi="Arial" w:cs="Arial"/>
          <w:bCs/>
        </w:rPr>
        <w:t xml:space="preserve">frican </w:t>
      </w:r>
      <w:r w:rsidRPr="00786B47">
        <w:rPr>
          <w:rFonts w:ascii="Arial" w:hAnsi="Arial" w:cs="Arial"/>
          <w:bCs/>
        </w:rPr>
        <w:t>H</w:t>
      </w:r>
      <w:r>
        <w:rPr>
          <w:rFonts w:ascii="Arial" w:hAnsi="Arial" w:cs="Arial"/>
          <w:bCs/>
        </w:rPr>
        <w:t xml:space="preserve">uman </w:t>
      </w:r>
      <w:r w:rsidRPr="00786B47">
        <w:rPr>
          <w:rFonts w:ascii="Arial" w:hAnsi="Arial" w:cs="Arial"/>
          <w:bCs/>
        </w:rPr>
        <w:t>R</w:t>
      </w:r>
      <w:r>
        <w:rPr>
          <w:rFonts w:ascii="Arial" w:hAnsi="Arial" w:cs="Arial"/>
          <w:bCs/>
        </w:rPr>
        <w:t xml:space="preserve">ights </w:t>
      </w:r>
      <w:r w:rsidRPr="00786B47">
        <w:rPr>
          <w:rFonts w:ascii="Arial" w:hAnsi="Arial" w:cs="Arial"/>
          <w:bCs/>
        </w:rPr>
        <w:t>C</w:t>
      </w:r>
      <w:r>
        <w:rPr>
          <w:rFonts w:ascii="Arial" w:hAnsi="Arial" w:cs="Arial"/>
          <w:bCs/>
        </w:rPr>
        <w:t>ommission</w:t>
      </w:r>
      <w:r w:rsidRPr="00786B47">
        <w:rPr>
          <w:rFonts w:ascii="Arial" w:hAnsi="Arial" w:cs="Arial"/>
          <w:bCs/>
        </w:rPr>
        <w:t xml:space="preserve"> Act </w:t>
      </w:r>
      <w:r>
        <w:rPr>
          <w:rFonts w:ascii="Arial" w:hAnsi="Arial" w:cs="Arial"/>
          <w:bCs/>
        </w:rPr>
        <w:t>(SAHRC Act)</w:t>
      </w:r>
      <w:r w:rsidRPr="00C63A91">
        <w:rPr>
          <w:rFonts w:ascii="Arial" w:eastAsiaTheme="minorEastAsia" w:hAnsi="Arial" w:cs="Arial"/>
          <w:lang w:val="en-GB" w:eastAsia="en-GB"/>
        </w:rPr>
        <w:t>, headed “</w:t>
      </w:r>
      <w:r w:rsidRPr="00C63A91">
        <w:rPr>
          <w:rFonts w:ascii="Arial" w:eastAsiaTheme="minorEastAsia" w:hAnsi="Arial" w:cs="Arial"/>
          <w:i/>
          <w:iCs/>
          <w:lang w:val="en-GB" w:eastAsia="en-GB"/>
        </w:rPr>
        <w:t>Investigations by Commission</w:t>
      </w:r>
      <w:r w:rsidRPr="00C63A91">
        <w:rPr>
          <w:rFonts w:ascii="Arial" w:eastAsiaTheme="minorEastAsia" w:hAnsi="Arial" w:cs="Arial"/>
          <w:lang w:val="en-GB" w:eastAsia="en-GB"/>
        </w:rPr>
        <w:t>”, sets out the Commission’s investigatory powers.</w:t>
      </w:r>
      <w:r w:rsidRPr="00C63A91">
        <w:rPr>
          <w:rFonts w:ascii="Arial" w:eastAsiaTheme="minorEastAsia" w:hAnsi="Arial" w:cs="Arial"/>
          <w:position w:val="8"/>
          <w:sz w:val="16"/>
          <w:szCs w:val="16"/>
          <w:lang w:val="en-GB" w:eastAsia="en-GB"/>
        </w:rPr>
        <w:t>3</w:t>
      </w:r>
      <w:r w:rsidRPr="00C63A91">
        <w:rPr>
          <w:rFonts w:ascii="Arial" w:eastAsiaTheme="minorEastAsia" w:hAnsi="Arial" w:cs="Arial"/>
          <w:position w:val="8"/>
          <w:lang w:val="en-GB" w:eastAsia="en-GB"/>
        </w:rPr>
        <w:t xml:space="preserve"> </w:t>
      </w:r>
      <w:r w:rsidR="00786B47" w:rsidRPr="00786B47">
        <w:rPr>
          <w:rFonts w:ascii="Arial" w:hAnsi="Arial" w:cs="Arial"/>
          <w:bCs/>
        </w:rPr>
        <w:t xml:space="preserve">Section 15(1) of the SAHRC Act states that the Commission may, </w:t>
      </w:r>
      <w:r w:rsidR="00630593">
        <w:rPr>
          <w:rFonts w:ascii="Arial" w:hAnsi="Arial" w:cs="Arial"/>
          <w:bCs/>
        </w:rPr>
        <w:t>in the</w:t>
      </w:r>
      <w:r w:rsidR="00786B47" w:rsidRPr="00786B47">
        <w:rPr>
          <w:rFonts w:ascii="Arial" w:hAnsi="Arial" w:cs="Arial"/>
          <w:bCs/>
        </w:rPr>
        <w:t xml:space="preserve"> exercise its powers and </w:t>
      </w:r>
      <w:r w:rsidR="00630593">
        <w:rPr>
          <w:rFonts w:ascii="Arial" w:hAnsi="Arial" w:cs="Arial"/>
          <w:bCs/>
        </w:rPr>
        <w:t xml:space="preserve">to </w:t>
      </w:r>
      <w:r w:rsidR="00786B47" w:rsidRPr="00786B47">
        <w:rPr>
          <w:rFonts w:ascii="Arial" w:hAnsi="Arial" w:cs="Arial"/>
          <w:bCs/>
        </w:rPr>
        <w:t xml:space="preserve">perform its functions, conduct or cause to be conducted any investigation that is necessary for that purpose. </w:t>
      </w:r>
    </w:p>
    <w:p w:rsidR="000B42D7" w:rsidRDefault="000B42D7" w:rsidP="000B42D7">
      <w:pPr>
        <w:widowControl w:val="0"/>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sidRPr="000B42D7">
        <w:rPr>
          <w:rFonts w:ascii="Arial" w:hAnsi="Arial" w:cs="Arial"/>
          <w:bCs/>
        </w:rPr>
        <w:t>In addition to the SAHRC Act, the Commission has a publishe</w:t>
      </w:r>
      <w:r>
        <w:rPr>
          <w:rFonts w:ascii="Arial" w:hAnsi="Arial" w:cs="Arial"/>
          <w:bCs/>
        </w:rPr>
        <w:t>d Complaints Handling Procedure</w:t>
      </w:r>
      <w:r w:rsidRPr="000B42D7">
        <w:rPr>
          <w:rFonts w:ascii="Arial" w:hAnsi="Arial" w:cs="Arial"/>
          <w:bCs/>
        </w:rPr>
        <w:t>.</w:t>
      </w:r>
      <w:r>
        <w:rPr>
          <w:rStyle w:val="FootnoteReference"/>
          <w:rFonts w:ascii="Arial" w:hAnsi="Arial" w:cs="Arial"/>
          <w:bCs/>
        </w:rPr>
        <w:footnoteReference w:id="1"/>
      </w:r>
      <w:r w:rsidRPr="000B42D7">
        <w:rPr>
          <w:rFonts w:ascii="Arial" w:hAnsi="Arial" w:cs="Arial"/>
          <w:bCs/>
        </w:rPr>
        <w:t xml:space="preserve"> </w:t>
      </w:r>
      <w:r w:rsidRPr="000B42D7">
        <w:rPr>
          <w:rFonts w:ascii="Arial" w:eastAsiaTheme="minorEastAsia" w:hAnsi="Arial" w:cs="Arial"/>
          <w:lang w:eastAsia="en-GB"/>
        </w:rPr>
        <w:t xml:space="preserve">The Complaints Handling Procedure governs every investigation, </w:t>
      </w:r>
      <w:r w:rsidR="00630593">
        <w:rPr>
          <w:rFonts w:ascii="Arial" w:eastAsiaTheme="minorEastAsia" w:hAnsi="Arial" w:cs="Arial"/>
          <w:lang w:eastAsia="en-GB"/>
        </w:rPr>
        <w:t>and permits</w:t>
      </w:r>
      <w:r w:rsidRPr="000B42D7">
        <w:rPr>
          <w:rFonts w:ascii="Arial" w:eastAsiaTheme="minorEastAsia" w:hAnsi="Arial" w:cs="Arial"/>
          <w:lang w:eastAsia="en-GB"/>
        </w:rPr>
        <w:t xml:space="preserve"> deviation</w:t>
      </w:r>
      <w:r w:rsidR="00630593">
        <w:rPr>
          <w:rFonts w:ascii="Arial" w:eastAsiaTheme="minorEastAsia" w:hAnsi="Arial" w:cs="Arial"/>
          <w:lang w:eastAsia="en-GB"/>
        </w:rPr>
        <w:t>s from its provision where circumstances of a particular investigation require</w:t>
      </w:r>
      <w:r w:rsidRPr="000B42D7">
        <w:rPr>
          <w:rFonts w:ascii="Arial" w:eastAsiaTheme="minorEastAsia" w:hAnsi="Arial" w:cs="Arial"/>
          <w:lang w:eastAsia="en-GB"/>
        </w:rPr>
        <w:t xml:space="preserve"> (article 1(3)).</w:t>
      </w:r>
      <w:r>
        <w:rPr>
          <w:rFonts w:ascii="Arial" w:eastAsiaTheme="minorEastAsia" w:hAnsi="Arial" w:cs="Arial"/>
          <w:lang w:eastAsia="en-GB"/>
        </w:rPr>
        <w:t xml:space="preserve"> </w:t>
      </w:r>
    </w:p>
    <w:p w:rsidR="00786B47" w:rsidRDefault="00786B47" w:rsidP="000B42D7">
      <w:pPr>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The Commission has determined the Rules set out herein as the Rules that govern its procedures</w:t>
      </w:r>
      <w:r w:rsidR="000B42D7">
        <w:rPr>
          <w:rFonts w:ascii="Arial" w:hAnsi="Arial" w:cs="Arial"/>
        </w:rPr>
        <w:t xml:space="preserve"> for purposes of this National </w:t>
      </w:r>
      <w:r w:rsidR="00105522">
        <w:rPr>
          <w:rFonts w:ascii="Arial" w:hAnsi="Arial" w:cs="Arial"/>
        </w:rPr>
        <w:t xml:space="preserve">Investigative </w:t>
      </w:r>
      <w:r w:rsidR="000B42D7">
        <w:rPr>
          <w:rFonts w:ascii="Arial" w:hAnsi="Arial" w:cs="Arial"/>
        </w:rPr>
        <w:t xml:space="preserve">Hearing. The hearing will be conducted in accordance </w:t>
      </w:r>
      <w:r w:rsidR="00630593">
        <w:rPr>
          <w:rFonts w:ascii="Arial" w:hAnsi="Arial" w:cs="Arial"/>
        </w:rPr>
        <w:t>with</w:t>
      </w:r>
      <w:r w:rsidR="000B42D7">
        <w:rPr>
          <w:rFonts w:ascii="Arial" w:hAnsi="Arial" w:cs="Arial"/>
        </w:rPr>
        <w:t xml:space="preserve"> the Constitution, the SAHRC Act, the Commission’s Terms of Reference, and any other applicable law and these Rules.</w:t>
      </w:r>
    </w:p>
    <w:p w:rsidR="00F17C1A" w:rsidRDefault="00F17C1A" w:rsidP="000B42D7">
      <w:pPr>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p>
    <w:p w:rsidR="00F17C1A" w:rsidRDefault="00F17C1A" w:rsidP="000B42D7">
      <w:pPr>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p>
    <w:p w:rsidR="00A10083" w:rsidRDefault="00A10083" w:rsidP="000B42D7">
      <w:pPr>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p>
    <w:p w:rsidR="00F17C1A" w:rsidRDefault="00F17C1A" w:rsidP="000B42D7">
      <w:pPr>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p>
    <w:p w:rsidR="00F17C1A" w:rsidRDefault="00F17C1A" w:rsidP="000B42D7">
      <w:pPr>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p>
    <w:p w:rsidR="00F17C1A" w:rsidRDefault="00F17C1A" w:rsidP="000B42D7">
      <w:pPr>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p>
    <w:p w:rsidR="00F17C1A" w:rsidRPr="00F17C1A" w:rsidRDefault="00F17C1A" w:rsidP="00F17C1A">
      <w:pPr>
        <w:pStyle w:val="ListParagraph"/>
        <w:widowControl w:val="0"/>
        <w:numPr>
          <w:ilvl w:val="0"/>
          <w:numId w:val="7"/>
        </w:numPr>
        <w:tabs>
          <w:tab w:val="left" w:pos="1349"/>
        </w:tabs>
        <w:kinsoku w:val="0"/>
        <w:overflowPunct w:val="0"/>
        <w:autoSpaceDE w:val="0"/>
        <w:autoSpaceDN w:val="0"/>
        <w:adjustRightInd w:val="0"/>
        <w:spacing w:before="246" w:after="0" w:line="360" w:lineRule="auto"/>
        <w:ind w:right="115"/>
        <w:jc w:val="both"/>
        <w:rPr>
          <w:rFonts w:ascii="Arial" w:hAnsi="Arial" w:cs="Arial"/>
          <w:b/>
        </w:rPr>
      </w:pPr>
      <w:r w:rsidRPr="00F17C1A">
        <w:rPr>
          <w:rFonts w:ascii="Arial" w:hAnsi="Arial" w:cs="Arial"/>
          <w:b/>
        </w:rPr>
        <w:t>Definitions</w:t>
      </w:r>
    </w:p>
    <w:p w:rsidR="00F17C1A" w:rsidRDefault="00F17C1A" w:rsidP="00F17C1A">
      <w:pPr>
        <w:pStyle w:val="ListParagraph"/>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p>
    <w:p w:rsidR="00F17C1A" w:rsidRDefault="00F17C1A" w:rsidP="00F17C1A">
      <w:pPr>
        <w:pStyle w:val="ListParagraph"/>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Unless otherwise stated or the context indicates otherwise, in these Rules-</w:t>
      </w:r>
    </w:p>
    <w:p w:rsidR="00F17C1A" w:rsidRDefault="00F17C1A" w:rsidP="00F17C1A">
      <w:pPr>
        <w:pStyle w:val="ListParagraph"/>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p>
    <w:p w:rsidR="00F17C1A" w:rsidRDefault="00F17C1A"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Act</w:t>
      </w:r>
      <w:r>
        <w:rPr>
          <w:rFonts w:ascii="Arial" w:hAnsi="Arial" w:cs="Arial"/>
        </w:rPr>
        <w:t>” means the South African Human Rights Commission Act 40 of 2013;</w:t>
      </w:r>
    </w:p>
    <w:p w:rsidR="00BD7C1D" w:rsidRDefault="00BD7C1D" w:rsidP="00BD7C1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BD7C1D" w:rsidRDefault="00F17C1A" w:rsidP="00BD7C1D">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Chairperson</w:t>
      </w:r>
      <w:r>
        <w:rPr>
          <w:rFonts w:ascii="Arial" w:hAnsi="Arial" w:cs="Arial"/>
        </w:rPr>
        <w:t>” means Commissioner Gaum in his capacity as the Chairperson of the Hearing Panel;</w:t>
      </w:r>
    </w:p>
    <w:p w:rsidR="00BD7C1D" w:rsidRPr="00BD7C1D" w:rsidRDefault="00BD7C1D" w:rsidP="00BD7C1D">
      <w:pPr>
        <w:pStyle w:val="ListParagraph"/>
        <w:rPr>
          <w:rFonts w:ascii="Arial" w:hAnsi="Arial" w:cs="Arial"/>
        </w:rPr>
      </w:pPr>
    </w:p>
    <w:p w:rsidR="00BD7C1D" w:rsidRPr="00BD7C1D" w:rsidRDefault="00BD7C1D" w:rsidP="00BD7C1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BD7C1D" w:rsidRDefault="00BD7C1D"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Chief Panellist</w:t>
      </w:r>
      <w:r>
        <w:rPr>
          <w:rFonts w:ascii="Arial" w:hAnsi="Arial" w:cs="Arial"/>
        </w:rPr>
        <w:t>” refers to Commissioner Ntuli in her capacity as the Chief Panellist of the Hearing Panel;</w:t>
      </w:r>
    </w:p>
    <w:p w:rsidR="00630593" w:rsidRDefault="00630593" w:rsidP="005B5363">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630593" w:rsidRDefault="00630593"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“Panellist” refers to members of the panel, comprising the Chair and Deputy Chair of the panel, chief panellist and other expert members appointed by the Commission;</w:t>
      </w:r>
    </w:p>
    <w:p w:rsidR="00BD7C1D" w:rsidRDefault="00BD7C1D" w:rsidP="00BD7C1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A10083" w:rsidRDefault="00F17C1A" w:rsidP="00A10083">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Commission</w:t>
      </w:r>
      <w:r>
        <w:rPr>
          <w:rFonts w:ascii="Arial" w:hAnsi="Arial" w:cs="Arial"/>
        </w:rPr>
        <w:t>” means the South African Human Rights Commission;</w:t>
      </w:r>
    </w:p>
    <w:p w:rsidR="00A10083" w:rsidRPr="00A10083" w:rsidRDefault="00A10083" w:rsidP="00A10083">
      <w:pPr>
        <w:pStyle w:val="ListParagraph"/>
        <w:rPr>
          <w:rFonts w:ascii="Arial" w:hAnsi="Arial" w:cs="Arial"/>
        </w:rPr>
      </w:pPr>
    </w:p>
    <w:p w:rsidR="00A10083" w:rsidRPr="00A10083" w:rsidRDefault="00A10083" w:rsidP="00A10083">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F17C1A" w:rsidRDefault="00F17C1A"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Constitution</w:t>
      </w:r>
      <w:r>
        <w:rPr>
          <w:rFonts w:ascii="Arial" w:hAnsi="Arial" w:cs="Arial"/>
        </w:rPr>
        <w:t>” refers to the Constitution of the Republic of South Africa</w:t>
      </w:r>
      <w:r w:rsidR="00630593">
        <w:rPr>
          <w:rFonts w:ascii="Arial" w:hAnsi="Arial" w:cs="Arial"/>
        </w:rPr>
        <w:t>,</w:t>
      </w:r>
      <w:r>
        <w:rPr>
          <w:rFonts w:ascii="Arial" w:hAnsi="Arial" w:cs="Arial"/>
        </w:rPr>
        <w:t xml:space="preserve">  1996</w:t>
      </w:r>
      <w:r w:rsidR="00BD7C1D">
        <w:rPr>
          <w:rFonts w:ascii="Arial" w:hAnsi="Arial" w:cs="Arial"/>
        </w:rPr>
        <w:t>;</w:t>
      </w:r>
    </w:p>
    <w:p w:rsidR="00BD7C1D" w:rsidRPr="00BD7C1D" w:rsidRDefault="00BD7C1D" w:rsidP="00BD7C1D">
      <w:pPr>
        <w:pStyle w:val="ListParagraph"/>
        <w:rPr>
          <w:rFonts w:ascii="Arial" w:hAnsi="Arial" w:cs="Arial"/>
        </w:rPr>
      </w:pPr>
    </w:p>
    <w:p w:rsidR="00BD7C1D" w:rsidRDefault="00BD7C1D" w:rsidP="00BD7C1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F17C1A" w:rsidRDefault="00BD7C1D"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Deputy Chairperson</w:t>
      </w:r>
      <w:r>
        <w:rPr>
          <w:rFonts w:ascii="Arial" w:hAnsi="Arial" w:cs="Arial"/>
        </w:rPr>
        <w:t>” means Commissioner Nissen in his capacity as the Deputy Chairperson of the Hearing Panel;</w:t>
      </w:r>
    </w:p>
    <w:p w:rsidR="00BD7C1D" w:rsidRDefault="00BD7C1D" w:rsidP="00BD7C1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BD7C1D" w:rsidRDefault="00BD7C1D" w:rsidP="005B5363">
      <w:pPr>
        <w:pStyle w:val="ListParagraph"/>
        <w:widowControl w:val="0"/>
        <w:numPr>
          <w:ilvl w:val="1"/>
          <w:numId w:val="7"/>
        </w:numPr>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Evidence</w:t>
      </w:r>
      <w:r>
        <w:rPr>
          <w:rFonts w:ascii="Arial" w:hAnsi="Arial" w:cs="Arial"/>
        </w:rPr>
        <w:t>” includes but is not limited to any document, affidavit, video, sound recording</w:t>
      </w:r>
      <w:r w:rsidR="002E615D">
        <w:rPr>
          <w:rFonts w:ascii="Arial" w:hAnsi="Arial" w:cs="Arial"/>
        </w:rPr>
        <w:t>, photograph</w:t>
      </w:r>
      <w:r>
        <w:rPr>
          <w:rFonts w:ascii="Arial" w:hAnsi="Arial" w:cs="Arial"/>
        </w:rPr>
        <w:t xml:space="preserve"> or oral testimony submitted to the Hearing Panel;</w:t>
      </w:r>
    </w:p>
    <w:p w:rsidR="00957635" w:rsidRPr="00957635" w:rsidRDefault="00957635" w:rsidP="00957635">
      <w:pPr>
        <w:pStyle w:val="ListParagraph"/>
        <w:rPr>
          <w:rFonts w:ascii="Arial" w:hAnsi="Arial" w:cs="Arial"/>
        </w:rPr>
      </w:pPr>
    </w:p>
    <w:p w:rsidR="00957635" w:rsidRPr="00957635" w:rsidRDefault="00957635" w:rsidP="00957635">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Hearing’s Legal Team</w:t>
      </w:r>
      <w:r>
        <w:rPr>
          <w:rFonts w:ascii="Arial" w:hAnsi="Arial" w:cs="Arial"/>
        </w:rPr>
        <w:t>” means the team of l</w:t>
      </w:r>
      <w:r w:rsidR="002E615D">
        <w:rPr>
          <w:rFonts w:ascii="Arial" w:hAnsi="Arial" w:cs="Arial"/>
        </w:rPr>
        <w:t>egal practitioners</w:t>
      </w:r>
      <w:r>
        <w:rPr>
          <w:rFonts w:ascii="Arial" w:hAnsi="Arial" w:cs="Arial"/>
        </w:rPr>
        <w:t xml:space="preserve"> appointed by the Commission to assist the Commission in the investigation</w:t>
      </w:r>
      <w:r w:rsidR="00630593">
        <w:rPr>
          <w:rFonts w:ascii="Arial" w:hAnsi="Arial" w:cs="Arial"/>
        </w:rPr>
        <w:t>, including</w:t>
      </w:r>
      <w:r>
        <w:rPr>
          <w:rFonts w:ascii="Arial" w:hAnsi="Arial" w:cs="Arial"/>
        </w:rPr>
        <w:t xml:space="preserve"> the presentation of evidence and arguments before the Hearing Panel in regard to matters referred to in the Terms of Reference;</w:t>
      </w:r>
    </w:p>
    <w:p w:rsidR="00BD7C1D" w:rsidRPr="00BD7C1D" w:rsidRDefault="00BD7C1D" w:rsidP="00BD7C1D">
      <w:pPr>
        <w:pStyle w:val="ListParagraph"/>
        <w:rPr>
          <w:rFonts w:ascii="Arial" w:hAnsi="Arial" w:cs="Arial"/>
        </w:rPr>
      </w:pPr>
    </w:p>
    <w:p w:rsidR="00BD7C1D" w:rsidRDefault="00BD7C1D"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Legal representative</w:t>
      </w:r>
      <w:r>
        <w:rPr>
          <w:rFonts w:ascii="Arial" w:hAnsi="Arial" w:cs="Arial"/>
        </w:rPr>
        <w:t>” means a practising advocate or attorney;</w:t>
      </w:r>
      <w:r w:rsidR="002E615D">
        <w:rPr>
          <w:rFonts w:ascii="Arial" w:hAnsi="Arial" w:cs="Arial"/>
        </w:rPr>
        <w:t xml:space="preserve"> alternatively, a person who has been admitted and enrolled as an attorney or an advocate in terms of the South African law.</w:t>
      </w:r>
    </w:p>
    <w:p w:rsidR="00BD7C1D" w:rsidRDefault="00BD7C1D" w:rsidP="00BD7C1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BD7C1D" w:rsidRDefault="00BD7C1D"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Person</w:t>
      </w:r>
      <w:r>
        <w:rPr>
          <w:rFonts w:ascii="Arial" w:hAnsi="Arial" w:cs="Arial"/>
        </w:rPr>
        <w:t>” includes both a natural and juristic person.</w:t>
      </w:r>
    </w:p>
    <w:p w:rsidR="00BD7C1D" w:rsidRPr="00BD7C1D" w:rsidRDefault="00BD7C1D" w:rsidP="00BD7C1D">
      <w:pPr>
        <w:pStyle w:val="ListParagraph"/>
        <w:rPr>
          <w:rFonts w:ascii="Arial" w:hAnsi="Arial" w:cs="Arial"/>
        </w:rPr>
      </w:pPr>
    </w:p>
    <w:p w:rsidR="00BD7C1D" w:rsidRDefault="00BD7C1D"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Personal information</w:t>
      </w:r>
      <w:r>
        <w:rPr>
          <w:rFonts w:ascii="Arial" w:hAnsi="Arial" w:cs="Arial"/>
        </w:rPr>
        <w:t>” means all information of a personal and private nature pertaining to an individual including but not limited to private addresses, private telephone numbers, private family information and details of medical conditions;</w:t>
      </w:r>
    </w:p>
    <w:p w:rsidR="00BD7C1D" w:rsidRPr="00BD7C1D" w:rsidRDefault="00BD7C1D" w:rsidP="00BD7C1D">
      <w:pPr>
        <w:pStyle w:val="ListParagraph"/>
        <w:rPr>
          <w:rFonts w:ascii="Arial" w:hAnsi="Arial" w:cs="Arial"/>
        </w:rPr>
      </w:pPr>
    </w:p>
    <w:p w:rsidR="00BD7C1D" w:rsidRDefault="00BD7C1D"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Rules</w:t>
      </w:r>
      <w:r>
        <w:rPr>
          <w:rFonts w:ascii="Arial" w:hAnsi="Arial" w:cs="Arial"/>
        </w:rPr>
        <w:t>” means these rules as</w:t>
      </w:r>
      <w:r w:rsidR="00630593">
        <w:rPr>
          <w:rFonts w:ascii="Arial" w:hAnsi="Arial" w:cs="Arial"/>
        </w:rPr>
        <w:t xml:space="preserve"> may be</w:t>
      </w:r>
      <w:r>
        <w:rPr>
          <w:rFonts w:ascii="Arial" w:hAnsi="Arial" w:cs="Arial"/>
        </w:rPr>
        <w:t xml:space="preserve"> amended from time to time;</w:t>
      </w:r>
    </w:p>
    <w:p w:rsidR="00BD7C1D" w:rsidRPr="00BD7C1D" w:rsidRDefault="00BD7C1D" w:rsidP="00BD7C1D">
      <w:pPr>
        <w:pStyle w:val="ListParagraph"/>
        <w:rPr>
          <w:rFonts w:ascii="Arial" w:hAnsi="Arial" w:cs="Arial"/>
        </w:rPr>
      </w:pPr>
    </w:p>
    <w:p w:rsidR="00BD7C1D" w:rsidRDefault="00BD7C1D" w:rsidP="00F17C1A">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w:t>
      </w:r>
      <w:r w:rsidRPr="00A10083">
        <w:rPr>
          <w:rFonts w:ascii="Arial" w:hAnsi="Arial" w:cs="Arial"/>
          <w:b/>
          <w:bCs/>
        </w:rPr>
        <w:t>Terms of Reference</w:t>
      </w:r>
      <w:r>
        <w:rPr>
          <w:rFonts w:ascii="Arial" w:hAnsi="Arial" w:cs="Arial"/>
        </w:rPr>
        <w:t>” means the terms of reference for the National Investigative Hearing published on the Commission’s website;</w:t>
      </w:r>
    </w:p>
    <w:p w:rsidR="00BD7C1D" w:rsidRPr="00BD7C1D" w:rsidRDefault="00BD7C1D" w:rsidP="00BD7C1D">
      <w:pPr>
        <w:pStyle w:val="ListParagraph"/>
        <w:rPr>
          <w:rFonts w:ascii="Arial" w:hAnsi="Arial" w:cs="Arial"/>
        </w:rPr>
      </w:pPr>
    </w:p>
    <w:p w:rsidR="00BD7C1D" w:rsidRDefault="00BD7C1D" w:rsidP="00105522">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105522" w:rsidRDefault="00105522" w:rsidP="00105522">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C63A91" w:rsidRDefault="00C63A91" w:rsidP="003A2BF1">
      <w:pPr>
        <w:pStyle w:val="ListParagraph"/>
        <w:widowControl w:val="0"/>
        <w:numPr>
          <w:ilvl w:val="0"/>
          <w:numId w:val="7"/>
        </w:numPr>
        <w:tabs>
          <w:tab w:val="left" w:pos="1349"/>
        </w:tabs>
        <w:kinsoku w:val="0"/>
        <w:overflowPunct w:val="0"/>
        <w:autoSpaceDE w:val="0"/>
        <w:autoSpaceDN w:val="0"/>
        <w:adjustRightInd w:val="0"/>
        <w:spacing w:before="246" w:after="0" w:line="360" w:lineRule="auto"/>
        <w:ind w:right="115"/>
        <w:jc w:val="both"/>
        <w:rPr>
          <w:rFonts w:ascii="Arial" w:hAnsi="Arial" w:cs="Arial"/>
          <w:b/>
        </w:rPr>
      </w:pPr>
      <w:r>
        <w:rPr>
          <w:rFonts w:ascii="Arial" w:hAnsi="Arial" w:cs="Arial"/>
          <w:b/>
        </w:rPr>
        <w:t>Hearings to be held in public</w:t>
      </w:r>
    </w:p>
    <w:p w:rsidR="00C63A91" w:rsidRDefault="00C63A91" w:rsidP="00C63A91">
      <w:pPr>
        <w:pStyle w:val="ListParagraph"/>
        <w:widowControl w:val="0"/>
        <w:tabs>
          <w:tab w:val="left" w:pos="1349"/>
        </w:tabs>
        <w:kinsoku w:val="0"/>
        <w:overflowPunct w:val="0"/>
        <w:autoSpaceDE w:val="0"/>
        <w:autoSpaceDN w:val="0"/>
        <w:adjustRightInd w:val="0"/>
        <w:spacing w:before="246" w:after="0" w:line="360" w:lineRule="auto"/>
        <w:ind w:right="115"/>
        <w:jc w:val="both"/>
        <w:rPr>
          <w:rFonts w:ascii="Arial" w:hAnsi="Arial" w:cs="Arial"/>
          <w:b/>
        </w:rPr>
      </w:pPr>
    </w:p>
    <w:p w:rsidR="00C63A91" w:rsidRDefault="00C63A91" w:rsidP="00C63A91">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The Hearing Panel</w:t>
      </w:r>
      <w:r w:rsidRPr="00C63A91">
        <w:rPr>
          <w:rFonts w:ascii="Arial" w:hAnsi="Arial" w:cs="Arial"/>
        </w:rPr>
        <w:t xml:space="preserve"> has determined that these proceedings should be open to the members of the public and the media having regard to:</w:t>
      </w:r>
    </w:p>
    <w:p w:rsidR="00C63A91" w:rsidRPr="00C63A91" w:rsidRDefault="00C63A91" w:rsidP="00C63A91">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C63A91" w:rsidRPr="00C63A91" w:rsidRDefault="00C63A91" w:rsidP="00C63A91">
      <w:pPr>
        <w:pStyle w:val="ListParagraph"/>
        <w:widowControl w:val="0"/>
        <w:numPr>
          <w:ilvl w:val="2"/>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sidRPr="00C63A91">
        <w:rPr>
          <w:rFonts w:ascii="Arial" w:hAnsi="Arial" w:cs="Arial"/>
        </w:rPr>
        <w:t xml:space="preserve">The public interest nature of this matter; </w:t>
      </w:r>
    </w:p>
    <w:p w:rsidR="00630593" w:rsidRDefault="00C63A91" w:rsidP="00C63A91">
      <w:pPr>
        <w:pStyle w:val="ListParagraph"/>
        <w:widowControl w:val="0"/>
        <w:numPr>
          <w:ilvl w:val="2"/>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sidRPr="00C63A91">
        <w:rPr>
          <w:rFonts w:ascii="Arial" w:hAnsi="Arial" w:cs="Arial"/>
        </w:rPr>
        <w:t>The constitutional obligations of the Commission to observe the principles of accountability, openness and transparency</w:t>
      </w:r>
      <w:r w:rsidR="00630593">
        <w:rPr>
          <w:rFonts w:ascii="Arial" w:hAnsi="Arial" w:cs="Arial"/>
        </w:rPr>
        <w:t>; and;</w:t>
      </w:r>
    </w:p>
    <w:p w:rsidR="00C63A91" w:rsidRPr="00C63A91" w:rsidRDefault="00630593" w:rsidP="00C63A91">
      <w:pPr>
        <w:pStyle w:val="ListParagraph"/>
        <w:widowControl w:val="0"/>
        <w:numPr>
          <w:ilvl w:val="2"/>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The legal obligations arising from the national state of disaster regulating the </w:t>
      </w:r>
      <w:r w:rsidR="001B6B4D">
        <w:rPr>
          <w:rFonts w:ascii="Arial" w:hAnsi="Arial" w:cs="Arial"/>
        </w:rPr>
        <w:t xml:space="preserve">permissible </w:t>
      </w:r>
      <w:r>
        <w:rPr>
          <w:rFonts w:ascii="Arial" w:hAnsi="Arial" w:cs="Arial"/>
        </w:rPr>
        <w:t xml:space="preserve">number of persons who may be in attendance at the </w:t>
      </w:r>
      <w:r w:rsidR="001B6B4D">
        <w:rPr>
          <w:rFonts w:ascii="Arial" w:hAnsi="Arial" w:cs="Arial"/>
        </w:rPr>
        <w:t xml:space="preserve">venue where </w:t>
      </w:r>
      <w:r>
        <w:rPr>
          <w:rFonts w:ascii="Arial" w:hAnsi="Arial" w:cs="Arial"/>
        </w:rPr>
        <w:t>proceedings</w:t>
      </w:r>
      <w:r w:rsidR="001B6B4D">
        <w:rPr>
          <w:rFonts w:ascii="Arial" w:hAnsi="Arial" w:cs="Arial"/>
        </w:rPr>
        <w:t xml:space="preserve"> are convened</w:t>
      </w:r>
    </w:p>
    <w:p w:rsidR="00C63A91" w:rsidRDefault="00C63A91" w:rsidP="00C63A91">
      <w:pPr>
        <w:pStyle w:val="ListParagraph"/>
        <w:widowControl w:val="0"/>
        <w:tabs>
          <w:tab w:val="left" w:pos="1349"/>
        </w:tabs>
        <w:kinsoku w:val="0"/>
        <w:overflowPunct w:val="0"/>
        <w:autoSpaceDE w:val="0"/>
        <w:autoSpaceDN w:val="0"/>
        <w:adjustRightInd w:val="0"/>
        <w:spacing w:before="246" w:after="0" w:line="360" w:lineRule="auto"/>
        <w:ind w:left="1800" w:right="115"/>
        <w:jc w:val="both"/>
        <w:rPr>
          <w:rFonts w:ascii="Arial" w:hAnsi="Arial" w:cs="Arial"/>
        </w:rPr>
      </w:pPr>
    </w:p>
    <w:p w:rsidR="00C63A91" w:rsidRDefault="00957635" w:rsidP="00C45813">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w:t>
      </w:r>
      <w:r w:rsidR="00C45813">
        <w:rPr>
          <w:rFonts w:ascii="Arial" w:hAnsi="Arial" w:cs="Arial"/>
        </w:rPr>
        <w:t xml:space="preserve">In an appropriate case, the Chairperson, after consultation with the Hearing Panel, may make an order that a hearing be held </w:t>
      </w:r>
      <w:r w:rsidR="00C45813" w:rsidRPr="00C45813">
        <w:rPr>
          <w:rFonts w:ascii="Arial" w:hAnsi="Arial" w:cs="Arial"/>
          <w:i/>
        </w:rPr>
        <w:t>in camera</w:t>
      </w:r>
      <w:r w:rsidR="00C45813">
        <w:rPr>
          <w:rFonts w:ascii="Arial" w:hAnsi="Arial" w:cs="Arial"/>
        </w:rPr>
        <w:t xml:space="preserve">. In such a case, the Chairperson shall specify the </w:t>
      </w:r>
      <w:r w:rsidR="001B6B4D">
        <w:rPr>
          <w:rFonts w:ascii="Arial" w:hAnsi="Arial" w:cs="Arial"/>
        </w:rPr>
        <w:t xml:space="preserve">procedure regulating </w:t>
      </w:r>
      <w:r w:rsidR="001B6B4D" w:rsidRPr="005B5363">
        <w:rPr>
          <w:rFonts w:ascii="Arial" w:hAnsi="Arial" w:cs="Arial"/>
          <w:i/>
          <w:iCs/>
        </w:rPr>
        <w:t>in camera</w:t>
      </w:r>
      <w:r w:rsidR="001B6B4D">
        <w:rPr>
          <w:rFonts w:ascii="Arial" w:hAnsi="Arial" w:cs="Arial"/>
        </w:rPr>
        <w:t xml:space="preserve"> proceedings.</w:t>
      </w:r>
      <w:r w:rsidR="00C45813">
        <w:rPr>
          <w:rFonts w:ascii="Arial" w:hAnsi="Arial" w:cs="Arial"/>
        </w:rPr>
        <w:t xml:space="preserve"> </w:t>
      </w:r>
    </w:p>
    <w:p w:rsidR="00C45813" w:rsidRDefault="00C45813" w:rsidP="00C45813">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C45813" w:rsidRDefault="00957635" w:rsidP="00C45813">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w:t>
      </w:r>
      <w:r w:rsidR="00C45813">
        <w:rPr>
          <w:rFonts w:ascii="Arial" w:hAnsi="Arial" w:cs="Arial"/>
        </w:rPr>
        <w:t xml:space="preserve">At the request of the witness whose evidence is to be heard </w:t>
      </w:r>
      <w:r w:rsidR="00C45813" w:rsidRPr="00C45813">
        <w:rPr>
          <w:rFonts w:ascii="Arial" w:hAnsi="Arial" w:cs="Arial"/>
          <w:i/>
        </w:rPr>
        <w:t>in camera</w:t>
      </w:r>
      <w:r w:rsidR="00C45813">
        <w:rPr>
          <w:rFonts w:ascii="Arial" w:hAnsi="Arial" w:cs="Arial"/>
        </w:rPr>
        <w:t xml:space="preserve">, or, </w:t>
      </w:r>
      <w:r w:rsidR="00C45813" w:rsidRPr="002E615D">
        <w:rPr>
          <w:rFonts w:ascii="Arial" w:hAnsi="Arial" w:cs="Arial"/>
          <w:i/>
        </w:rPr>
        <w:t>mero moto</w:t>
      </w:r>
      <w:r w:rsidR="00C45813">
        <w:rPr>
          <w:rFonts w:ascii="Arial" w:hAnsi="Arial" w:cs="Arial"/>
        </w:rPr>
        <w:t xml:space="preserve">, the Chairperson, after consultation with the Hearing Panel, must order that nobody may, directly and indirectly, disclose the identity of the witness who is to give evidence </w:t>
      </w:r>
      <w:r w:rsidR="00C45813" w:rsidRPr="00C45813">
        <w:rPr>
          <w:rFonts w:ascii="Arial" w:hAnsi="Arial" w:cs="Arial"/>
          <w:i/>
        </w:rPr>
        <w:t>in camera</w:t>
      </w:r>
      <w:r w:rsidR="00C45813">
        <w:rPr>
          <w:rFonts w:ascii="Arial" w:hAnsi="Arial" w:cs="Arial"/>
        </w:rPr>
        <w:t xml:space="preserve">. </w:t>
      </w:r>
    </w:p>
    <w:p w:rsidR="0044376D" w:rsidRPr="0044376D" w:rsidRDefault="0044376D" w:rsidP="0044376D">
      <w:pPr>
        <w:pStyle w:val="ListParagraph"/>
        <w:rPr>
          <w:rFonts w:ascii="Arial" w:hAnsi="Arial" w:cs="Arial"/>
        </w:rPr>
      </w:pPr>
    </w:p>
    <w:p w:rsidR="0044376D" w:rsidRDefault="0044376D" w:rsidP="0044376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C45813" w:rsidRPr="00C45813" w:rsidRDefault="00C45813" w:rsidP="00C45813">
      <w:pPr>
        <w:pStyle w:val="ListParagraph"/>
        <w:rPr>
          <w:rFonts w:ascii="Arial" w:hAnsi="Arial" w:cs="Arial"/>
        </w:rPr>
      </w:pPr>
    </w:p>
    <w:p w:rsidR="00C45813" w:rsidRPr="00C45813" w:rsidRDefault="00C45813" w:rsidP="00C45813">
      <w:pPr>
        <w:pStyle w:val="ListParagraph"/>
        <w:widowControl w:val="0"/>
        <w:numPr>
          <w:ilvl w:val="0"/>
          <w:numId w:val="7"/>
        </w:numPr>
        <w:tabs>
          <w:tab w:val="left" w:pos="1349"/>
        </w:tabs>
        <w:kinsoku w:val="0"/>
        <w:overflowPunct w:val="0"/>
        <w:autoSpaceDE w:val="0"/>
        <w:autoSpaceDN w:val="0"/>
        <w:adjustRightInd w:val="0"/>
        <w:spacing w:before="246" w:after="0" w:line="360" w:lineRule="auto"/>
        <w:ind w:right="115"/>
        <w:jc w:val="both"/>
        <w:rPr>
          <w:rFonts w:ascii="Arial" w:hAnsi="Arial" w:cs="Arial"/>
          <w:b/>
        </w:rPr>
      </w:pPr>
      <w:r w:rsidRPr="00C45813">
        <w:rPr>
          <w:rFonts w:ascii="Arial" w:hAnsi="Arial" w:cs="Arial"/>
          <w:b/>
        </w:rPr>
        <w:t>The Hearing Panel to keep the public informed</w:t>
      </w:r>
    </w:p>
    <w:p w:rsidR="00C45813" w:rsidRDefault="00C45813" w:rsidP="00C45813">
      <w:pPr>
        <w:pStyle w:val="ListParagraph"/>
        <w:widowControl w:val="0"/>
        <w:tabs>
          <w:tab w:val="left" w:pos="1349"/>
        </w:tabs>
        <w:kinsoku w:val="0"/>
        <w:overflowPunct w:val="0"/>
        <w:autoSpaceDE w:val="0"/>
        <w:autoSpaceDN w:val="0"/>
        <w:adjustRightInd w:val="0"/>
        <w:spacing w:before="246" w:after="0" w:line="360" w:lineRule="auto"/>
        <w:ind w:right="115"/>
        <w:jc w:val="both"/>
        <w:rPr>
          <w:rFonts w:ascii="Arial" w:hAnsi="Arial" w:cs="Arial"/>
        </w:rPr>
      </w:pPr>
    </w:p>
    <w:p w:rsidR="00C63A91" w:rsidRDefault="00957635" w:rsidP="00C63A91">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w:t>
      </w:r>
      <w:r w:rsidR="00C45813">
        <w:rPr>
          <w:rFonts w:ascii="Arial" w:hAnsi="Arial" w:cs="Arial"/>
        </w:rPr>
        <w:t>The Commission must regularly inform the public of the matters to be covered at the hearings</w:t>
      </w:r>
      <w:r w:rsidR="00922392">
        <w:rPr>
          <w:rFonts w:ascii="Arial" w:hAnsi="Arial" w:cs="Arial"/>
        </w:rPr>
        <w:t xml:space="preserve"> through media interviews and</w:t>
      </w:r>
      <w:r w:rsidR="00C45813">
        <w:rPr>
          <w:rFonts w:ascii="Arial" w:hAnsi="Arial" w:cs="Arial"/>
        </w:rPr>
        <w:t xml:space="preserve"> by publishing the relevant information </w:t>
      </w:r>
      <w:r w:rsidR="005B5363">
        <w:rPr>
          <w:rFonts w:ascii="Arial" w:hAnsi="Arial" w:cs="Arial"/>
        </w:rPr>
        <w:t>of</w:t>
      </w:r>
      <w:r w:rsidR="00C45813">
        <w:rPr>
          <w:rFonts w:ascii="Arial" w:hAnsi="Arial" w:cs="Arial"/>
        </w:rPr>
        <w:t xml:space="preserve"> the Commission’s website and social media platforms.</w:t>
      </w:r>
    </w:p>
    <w:p w:rsidR="005C4596" w:rsidRPr="005C4596" w:rsidRDefault="005C4596" w:rsidP="005C4596">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3A2BF1" w:rsidRPr="00B62ECD" w:rsidRDefault="003A2BF1" w:rsidP="00B62ECD">
      <w:pPr>
        <w:pStyle w:val="ListParagraph"/>
        <w:widowControl w:val="0"/>
        <w:numPr>
          <w:ilvl w:val="0"/>
          <w:numId w:val="7"/>
        </w:numPr>
        <w:tabs>
          <w:tab w:val="left" w:pos="1349"/>
        </w:tabs>
        <w:kinsoku w:val="0"/>
        <w:overflowPunct w:val="0"/>
        <w:autoSpaceDE w:val="0"/>
        <w:autoSpaceDN w:val="0"/>
        <w:adjustRightInd w:val="0"/>
        <w:spacing w:before="246" w:after="0" w:line="360" w:lineRule="auto"/>
        <w:ind w:right="115"/>
        <w:jc w:val="both"/>
        <w:rPr>
          <w:rFonts w:ascii="Arial" w:hAnsi="Arial" w:cs="Arial"/>
          <w:b/>
        </w:rPr>
      </w:pPr>
      <w:r w:rsidRPr="003A2BF1">
        <w:rPr>
          <w:rFonts w:ascii="Arial" w:hAnsi="Arial" w:cs="Arial"/>
          <w:b/>
        </w:rPr>
        <w:t>Methodology and hearing process</w:t>
      </w:r>
    </w:p>
    <w:p w:rsidR="00922392" w:rsidRPr="00922392" w:rsidRDefault="00922392" w:rsidP="00922392">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922392" w:rsidRPr="0044376D" w:rsidRDefault="00922392" w:rsidP="00922392">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The proceedings </w:t>
      </w:r>
      <w:r w:rsidRPr="00922392">
        <w:rPr>
          <w:rFonts w:ascii="Arial" w:hAnsi="Arial" w:cs="Arial"/>
        </w:rPr>
        <w:t>are “</w:t>
      </w:r>
      <w:r w:rsidRPr="00922392">
        <w:rPr>
          <w:rFonts w:ascii="Arial" w:hAnsi="Arial" w:cs="Arial"/>
          <w:i/>
          <w:iCs/>
        </w:rPr>
        <w:t>inquisitorial in nature</w:t>
      </w:r>
      <w:r w:rsidRPr="00922392">
        <w:rPr>
          <w:rFonts w:ascii="Arial" w:hAnsi="Arial" w:cs="Arial"/>
        </w:rPr>
        <w:t>”, and will be presided</w:t>
      </w:r>
      <w:r w:rsidRPr="00922392">
        <w:rPr>
          <w:rFonts w:ascii="Arial" w:hAnsi="Arial" w:cs="Arial"/>
          <w:spacing w:val="-16"/>
        </w:rPr>
        <w:t xml:space="preserve"> </w:t>
      </w:r>
      <w:r w:rsidRPr="00922392">
        <w:rPr>
          <w:rFonts w:ascii="Arial" w:hAnsi="Arial" w:cs="Arial"/>
        </w:rPr>
        <w:t>over</w:t>
      </w:r>
      <w:r w:rsidRPr="00922392">
        <w:rPr>
          <w:rFonts w:ascii="Arial" w:hAnsi="Arial" w:cs="Arial"/>
          <w:spacing w:val="-15"/>
        </w:rPr>
        <w:t xml:space="preserve"> </w:t>
      </w:r>
      <w:r w:rsidRPr="00922392">
        <w:rPr>
          <w:rFonts w:ascii="Arial" w:hAnsi="Arial" w:cs="Arial"/>
        </w:rPr>
        <w:t>by</w:t>
      </w:r>
      <w:r w:rsidRPr="00922392">
        <w:rPr>
          <w:rFonts w:ascii="Arial" w:hAnsi="Arial" w:cs="Arial"/>
          <w:spacing w:val="-16"/>
        </w:rPr>
        <w:t xml:space="preserve"> </w:t>
      </w:r>
      <w:r w:rsidR="004A41FF">
        <w:rPr>
          <w:rFonts w:ascii="Arial" w:hAnsi="Arial" w:cs="Arial"/>
          <w:spacing w:val="-16"/>
        </w:rPr>
        <w:t xml:space="preserve">the </w:t>
      </w:r>
      <w:r w:rsidRPr="00DF32EA">
        <w:rPr>
          <w:rFonts w:ascii="Arial" w:hAnsi="Arial" w:cs="Arial"/>
        </w:rPr>
        <w:t>Hearing Panel</w:t>
      </w:r>
      <w:r w:rsidRPr="00922392">
        <w:rPr>
          <w:rFonts w:ascii="Arial" w:hAnsi="Arial" w:cs="Arial"/>
        </w:rPr>
        <w:t>.</w:t>
      </w:r>
      <w:r w:rsidRPr="00922392">
        <w:rPr>
          <w:rFonts w:ascii="Arial" w:hAnsi="Arial" w:cs="Arial"/>
          <w:spacing w:val="14"/>
          <w:position w:val="8"/>
        </w:rPr>
        <w:t xml:space="preserve"> </w:t>
      </w:r>
    </w:p>
    <w:p w:rsidR="0044376D" w:rsidRPr="0044376D" w:rsidRDefault="0044376D" w:rsidP="0044376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44376D" w:rsidRPr="0044376D" w:rsidRDefault="00876A4C" w:rsidP="0044376D">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w:t>
      </w:r>
      <w:r w:rsidR="0044376D" w:rsidRPr="003A2BF1">
        <w:rPr>
          <w:rFonts w:ascii="Arial" w:hAnsi="Arial" w:cs="Arial"/>
        </w:rPr>
        <w:t>The proceedings are formal. As required, in terms of section 15(1)(d) of the SAHRC Act</w:t>
      </w:r>
      <w:r w:rsidR="0044376D">
        <w:rPr>
          <w:rFonts w:ascii="Arial" w:hAnsi="Arial" w:cs="Arial"/>
        </w:rPr>
        <w:t xml:space="preserve">, a Commissioner </w:t>
      </w:r>
      <w:r w:rsidR="0044376D" w:rsidRPr="003A2BF1">
        <w:rPr>
          <w:rFonts w:ascii="Arial" w:hAnsi="Arial" w:cs="Arial"/>
        </w:rPr>
        <w:t>will administer an oath to or take an affirmation from the witnesses.</w:t>
      </w:r>
      <w:r w:rsidR="0044376D" w:rsidRPr="003A2BF1">
        <w:rPr>
          <w:rFonts w:ascii="Arial" w:hAnsi="Arial" w:cs="Arial"/>
          <w:i/>
        </w:rPr>
        <w:t xml:space="preserve"> </w:t>
      </w:r>
    </w:p>
    <w:p w:rsidR="0044376D" w:rsidRPr="0044376D" w:rsidRDefault="0044376D" w:rsidP="0044376D">
      <w:pPr>
        <w:pStyle w:val="ListParagraph"/>
        <w:rPr>
          <w:rFonts w:ascii="Arial" w:hAnsi="Arial" w:cs="Arial"/>
        </w:rPr>
      </w:pPr>
    </w:p>
    <w:p w:rsidR="0044376D" w:rsidRPr="0044376D" w:rsidRDefault="0044376D" w:rsidP="0044376D">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The Chairperson or any member of the Hearing Panel, shall administer an oath or affirmation to a witness before the witness may commence giving evidence.</w:t>
      </w:r>
    </w:p>
    <w:p w:rsidR="00922392" w:rsidRPr="00922392" w:rsidRDefault="00922392" w:rsidP="00922392">
      <w:pPr>
        <w:pStyle w:val="ListParagraph"/>
        <w:rPr>
          <w:rFonts w:ascii="Arial" w:hAnsi="Arial" w:cs="Arial"/>
        </w:rPr>
      </w:pPr>
    </w:p>
    <w:p w:rsidR="00922392" w:rsidRPr="00922392" w:rsidRDefault="00922392" w:rsidP="00922392">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w:t>
      </w:r>
      <w:r w:rsidRPr="00922392">
        <w:rPr>
          <w:rFonts w:ascii="Arial" w:hAnsi="Arial" w:cs="Arial"/>
        </w:rPr>
        <w:t>Both</w:t>
      </w:r>
      <w:r w:rsidRPr="00922392">
        <w:rPr>
          <w:rFonts w:ascii="Arial" w:hAnsi="Arial" w:cs="Arial"/>
          <w:spacing w:val="-14"/>
        </w:rPr>
        <w:t xml:space="preserve"> </w:t>
      </w:r>
      <w:r w:rsidRPr="00922392">
        <w:rPr>
          <w:rFonts w:ascii="Arial" w:hAnsi="Arial" w:cs="Arial"/>
        </w:rPr>
        <w:t xml:space="preserve">written and </w:t>
      </w:r>
      <w:r>
        <w:rPr>
          <w:rFonts w:ascii="Arial" w:hAnsi="Arial" w:cs="Arial"/>
        </w:rPr>
        <w:t>oral submissions from identified stakeholders</w:t>
      </w:r>
      <w:r w:rsidRPr="00922392">
        <w:rPr>
          <w:rFonts w:ascii="Arial" w:hAnsi="Arial" w:cs="Arial"/>
        </w:rPr>
        <w:t xml:space="preserve"> and other interested parties will be received.</w:t>
      </w:r>
    </w:p>
    <w:p w:rsidR="003A2BF1" w:rsidRPr="003A2BF1" w:rsidRDefault="003A2BF1" w:rsidP="003A2BF1">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hAnsi="Arial" w:cs="Arial"/>
        </w:rPr>
      </w:pPr>
    </w:p>
    <w:p w:rsidR="003A2BF1" w:rsidRDefault="00C63A91" w:rsidP="003A2BF1">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w:t>
      </w:r>
      <w:r w:rsidR="003A2BF1">
        <w:rPr>
          <w:rFonts w:ascii="Arial" w:hAnsi="Arial" w:cs="Arial"/>
        </w:rPr>
        <w:t xml:space="preserve">Identified stakeholders and interested parties </w:t>
      </w:r>
      <w:r w:rsidR="00922392">
        <w:rPr>
          <w:rFonts w:ascii="Arial" w:hAnsi="Arial" w:cs="Arial"/>
        </w:rPr>
        <w:t>will be required to</w:t>
      </w:r>
      <w:r w:rsidR="003A2BF1">
        <w:rPr>
          <w:rFonts w:ascii="Arial" w:hAnsi="Arial" w:cs="Arial"/>
        </w:rPr>
        <w:t xml:space="preserve"> provide information and responses to specific questions.</w:t>
      </w:r>
    </w:p>
    <w:p w:rsidR="003A2BF1" w:rsidRPr="003A2BF1" w:rsidRDefault="003A2BF1" w:rsidP="003A2BF1">
      <w:pPr>
        <w:pStyle w:val="ListParagraph"/>
        <w:rPr>
          <w:rFonts w:ascii="Arial" w:hAnsi="Arial" w:cs="Arial"/>
        </w:rPr>
      </w:pPr>
    </w:p>
    <w:p w:rsidR="003A2BF1" w:rsidRDefault="003A2BF1" w:rsidP="003A2BF1">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Selected stakeholders will be invited to appear before the Hearing Panel to provide summarised presentations and answer questions under oath or affirmation.</w:t>
      </w:r>
    </w:p>
    <w:p w:rsidR="003A2BF1" w:rsidRPr="003A2BF1" w:rsidRDefault="003A2BF1" w:rsidP="003A2BF1">
      <w:pPr>
        <w:pStyle w:val="ListParagraph"/>
        <w:rPr>
          <w:rFonts w:ascii="Arial" w:hAnsi="Arial" w:cs="Arial"/>
        </w:rPr>
      </w:pPr>
    </w:p>
    <w:p w:rsidR="003A2BF1" w:rsidRDefault="00C63A91" w:rsidP="003A2BF1">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Proceedings will be recorded and transcribed</w:t>
      </w:r>
      <w:r w:rsidR="00922392">
        <w:rPr>
          <w:rFonts w:ascii="Arial" w:hAnsi="Arial" w:cs="Arial"/>
        </w:rPr>
        <w:t>.</w:t>
      </w:r>
    </w:p>
    <w:p w:rsidR="00876A4C" w:rsidRPr="00876A4C" w:rsidRDefault="00876A4C" w:rsidP="00876A4C">
      <w:pPr>
        <w:pStyle w:val="ListParagraph"/>
        <w:rPr>
          <w:rFonts w:ascii="Arial" w:hAnsi="Arial" w:cs="Arial"/>
        </w:rPr>
      </w:pPr>
    </w:p>
    <w:p w:rsidR="00876A4C" w:rsidRDefault="00780DA8" w:rsidP="003A2BF1">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 </w:t>
      </w:r>
      <w:r w:rsidR="00876A4C">
        <w:rPr>
          <w:rFonts w:ascii="Arial" w:hAnsi="Arial" w:cs="Arial"/>
        </w:rPr>
        <w:t xml:space="preserve">A witness may apply to the Chairperson, at least a week before he or she is scheduled to appear at a hearing, to have his or her evidence taken </w:t>
      </w:r>
      <w:r w:rsidR="00834A0A" w:rsidRPr="00C45813">
        <w:rPr>
          <w:rFonts w:ascii="Arial" w:hAnsi="Arial" w:cs="Arial"/>
          <w:i/>
        </w:rPr>
        <w:t>in camera</w:t>
      </w:r>
      <w:r w:rsidR="00876A4C">
        <w:rPr>
          <w:rFonts w:ascii="Arial" w:hAnsi="Arial" w:cs="Arial"/>
        </w:rPr>
        <w:t xml:space="preserve">. Such application must be in writing and must </w:t>
      </w:r>
      <w:r w:rsidR="001B6B4D">
        <w:rPr>
          <w:rFonts w:ascii="Arial" w:hAnsi="Arial" w:cs="Arial"/>
        </w:rPr>
        <w:t>provide</w:t>
      </w:r>
      <w:r w:rsidR="00876A4C">
        <w:rPr>
          <w:rFonts w:ascii="Arial" w:hAnsi="Arial" w:cs="Arial"/>
        </w:rPr>
        <w:t xml:space="preserve"> reasons why such an order should be made. The Chairperson will decide the application at his discretion.</w:t>
      </w:r>
    </w:p>
    <w:p w:rsidR="001B6B4D" w:rsidRPr="005B5363" w:rsidRDefault="001B6B4D" w:rsidP="005B5363">
      <w:pPr>
        <w:pStyle w:val="ListParagraph"/>
        <w:rPr>
          <w:rFonts w:ascii="Arial" w:hAnsi="Arial" w:cs="Arial"/>
        </w:rPr>
      </w:pPr>
    </w:p>
    <w:p w:rsidR="001B6B4D" w:rsidRDefault="001B6B4D" w:rsidP="003A2BF1">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The Panel may exercise its powers in terms of </w:t>
      </w:r>
      <w:r w:rsidR="00B87FE0">
        <w:rPr>
          <w:rFonts w:ascii="Arial" w:hAnsi="Arial" w:cs="Arial"/>
        </w:rPr>
        <w:t xml:space="preserve">Section 22 of </w:t>
      </w:r>
      <w:r>
        <w:rPr>
          <w:rFonts w:ascii="Arial" w:hAnsi="Arial" w:cs="Arial"/>
        </w:rPr>
        <w:t>the Act to compel the production of information through the issue of a notice to compel.</w:t>
      </w:r>
    </w:p>
    <w:p w:rsidR="001B6B4D" w:rsidRPr="005B5363" w:rsidRDefault="001B6B4D" w:rsidP="005B5363">
      <w:pPr>
        <w:pStyle w:val="ListParagraph"/>
        <w:rPr>
          <w:rFonts w:ascii="Arial" w:hAnsi="Arial" w:cs="Arial"/>
        </w:rPr>
      </w:pPr>
    </w:p>
    <w:p w:rsidR="001B6B4D" w:rsidRPr="00F17C1A" w:rsidRDefault="001B6B4D" w:rsidP="003A2BF1">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hAnsi="Arial" w:cs="Arial"/>
        </w:rPr>
      </w:pPr>
      <w:r>
        <w:rPr>
          <w:rFonts w:ascii="Arial" w:hAnsi="Arial" w:cs="Arial"/>
        </w:rPr>
        <w:t xml:space="preserve">A failure to comply with </w:t>
      </w:r>
      <w:r w:rsidR="00B87FE0">
        <w:rPr>
          <w:rFonts w:ascii="Arial" w:hAnsi="Arial" w:cs="Arial"/>
        </w:rPr>
        <w:t>a</w:t>
      </w:r>
      <w:r>
        <w:rPr>
          <w:rFonts w:ascii="Arial" w:hAnsi="Arial" w:cs="Arial"/>
        </w:rPr>
        <w:t xml:space="preserve"> notice</w:t>
      </w:r>
      <w:r w:rsidR="00B87FE0">
        <w:rPr>
          <w:rFonts w:ascii="Arial" w:hAnsi="Arial" w:cs="Arial"/>
        </w:rPr>
        <w:t xml:space="preserve"> issued in terms of Section 22, or the provision of false information to the Panel,</w:t>
      </w:r>
      <w:r>
        <w:rPr>
          <w:rFonts w:ascii="Arial" w:hAnsi="Arial" w:cs="Arial"/>
        </w:rPr>
        <w:t xml:space="preserve"> shall be subject to the provisions of the Act which provides penalties </w:t>
      </w:r>
      <w:r w:rsidR="00B87FE0">
        <w:rPr>
          <w:rFonts w:ascii="Arial" w:hAnsi="Arial" w:cs="Arial"/>
        </w:rPr>
        <w:t>in the form of fines or imprisonment for such contempt or criminal offense.</w:t>
      </w:r>
    </w:p>
    <w:p w:rsidR="00F17C1A" w:rsidRDefault="00F17C1A" w:rsidP="000B42D7">
      <w:pPr>
        <w:widowControl w:val="0"/>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p>
    <w:p w:rsidR="00876A4C" w:rsidRDefault="00876A4C" w:rsidP="000B42D7">
      <w:pPr>
        <w:widowControl w:val="0"/>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p>
    <w:p w:rsidR="00BD7C1D" w:rsidRPr="000C2E4B" w:rsidRDefault="00922392" w:rsidP="00922392">
      <w:pPr>
        <w:pStyle w:val="ListParagraph"/>
        <w:widowControl w:val="0"/>
        <w:numPr>
          <w:ilvl w:val="0"/>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b/>
          <w:lang w:eastAsia="en-GB"/>
        </w:rPr>
      </w:pPr>
      <w:r w:rsidRPr="000C2E4B">
        <w:rPr>
          <w:rFonts w:ascii="Arial" w:eastAsiaTheme="minorEastAsia" w:hAnsi="Arial" w:cs="Arial"/>
          <w:b/>
          <w:lang w:eastAsia="en-GB"/>
        </w:rPr>
        <w:t xml:space="preserve">Witnesses presented by </w:t>
      </w:r>
      <w:r w:rsidR="00876A4C">
        <w:rPr>
          <w:rFonts w:ascii="Arial" w:eastAsiaTheme="minorEastAsia" w:hAnsi="Arial" w:cs="Arial"/>
          <w:b/>
          <w:lang w:eastAsia="en-GB"/>
        </w:rPr>
        <w:t>the Hearing</w:t>
      </w:r>
      <w:r w:rsidRPr="000C2E4B">
        <w:rPr>
          <w:rFonts w:ascii="Arial" w:eastAsiaTheme="minorEastAsia" w:hAnsi="Arial" w:cs="Arial"/>
          <w:b/>
          <w:lang w:eastAsia="en-GB"/>
        </w:rPr>
        <w:t>’s Legal Team</w:t>
      </w:r>
      <w:r w:rsidR="000C2E4B" w:rsidRPr="000C2E4B">
        <w:rPr>
          <w:rFonts w:ascii="Arial" w:eastAsiaTheme="minorEastAsia" w:hAnsi="Arial" w:cs="Arial"/>
          <w:b/>
          <w:lang w:eastAsia="en-GB"/>
        </w:rPr>
        <w:t xml:space="preserve"> and implicated persons and their evidence</w:t>
      </w:r>
    </w:p>
    <w:p w:rsidR="000C2E4B" w:rsidRDefault="000C2E4B" w:rsidP="000C2E4B">
      <w:pPr>
        <w:pStyle w:val="ListParagraph"/>
        <w:widowControl w:val="0"/>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p>
    <w:p w:rsidR="000C2E4B" w:rsidRDefault="000C2E4B" w:rsidP="000C2E4B">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Subject to anything to the contrary contained in these Rules or to the Chairperson and Hearing Panel’s directions </w:t>
      </w:r>
      <w:r w:rsidR="003A216C">
        <w:rPr>
          <w:rFonts w:ascii="Arial" w:eastAsiaTheme="minorEastAsia" w:hAnsi="Arial" w:cs="Arial"/>
          <w:lang w:eastAsia="en-GB"/>
        </w:rPr>
        <w:t>with</w:t>
      </w:r>
      <w:r>
        <w:rPr>
          <w:rFonts w:ascii="Arial" w:eastAsiaTheme="minorEastAsia" w:hAnsi="Arial" w:cs="Arial"/>
          <w:lang w:eastAsia="en-GB"/>
        </w:rPr>
        <w:t xml:space="preserve"> regard to any specific witness</w:t>
      </w:r>
      <w:r w:rsidR="00876A4C">
        <w:rPr>
          <w:rFonts w:ascii="Arial" w:eastAsiaTheme="minorEastAsia" w:hAnsi="Arial" w:cs="Arial"/>
          <w:lang w:eastAsia="en-GB"/>
        </w:rPr>
        <w:t>, the Hearing’</w:t>
      </w:r>
      <w:r>
        <w:rPr>
          <w:rFonts w:ascii="Arial" w:eastAsiaTheme="minorEastAsia" w:hAnsi="Arial" w:cs="Arial"/>
          <w:lang w:eastAsia="en-GB"/>
        </w:rPr>
        <w:t>s Legal Team bears the overall responsibility to present the evidence of witnesses to the Hearing Panel.</w:t>
      </w:r>
    </w:p>
    <w:p w:rsidR="000C2E4B" w:rsidRDefault="000C2E4B" w:rsidP="000C2E4B">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eastAsiaTheme="minorEastAsia" w:hAnsi="Arial" w:cs="Arial"/>
          <w:lang w:eastAsia="en-GB"/>
        </w:rPr>
      </w:pPr>
    </w:p>
    <w:p w:rsidR="000C2E4B" w:rsidRDefault="00780DA8" w:rsidP="000C2E4B">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w:t>
      </w:r>
      <w:r w:rsidR="000C2E4B">
        <w:rPr>
          <w:rFonts w:ascii="Arial" w:eastAsiaTheme="minorEastAsia" w:hAnsi="Arial" w:cs="Arial"/>
          <w:lang w:eastAsia="en-GB"/>
        </w:rPr>
        <w:t xml:space="preserve">A member of the Commission’s Legal Team may put questions to a witness whose evidence is presented to the Hearing Panel by the Commission’s Legal Team including questions aimed at assisting the Hearing Panel in assessing the truthfulness of the evidence of a witness. Subject to the directions of the Chairperson and the Hearing Panel, </w:t>
      </w:r>
      <w:r w:rsidR="00876A4C">
        <w:rPr>
          <w:rFonts w:ascii="Arial" w:eastAsiaTheme="minorEastAsia" w:hAnsi="Arial" w:cs="Arial"/>
          <w:lang w:eastAsia="en-GB"/>
        </w:rPr>
        <w:t>the Hearing</w:t>
      </w:r>
      <w:r w:rsidR="000C2E4B">
        <w:rPr>
          <w:rFonts w:ascii="Arial" w:eastAsiaTheme="minorEastAsia" w:hAnsi="Arial" w:cs="Arial"/>
          <w:lang w:eastAsia="en-GB"/>
        </w:rPr>
        <w:t>’s Legal Team may ask leading questions.</w:t>
      </w:r>
    </w:p>
    <w:p w:rsidR="000C2E4B" w:rsidRPr="000C2E4B" w:rsidRDefault="000C2E4B" w:rsidP="000C2E4B">
      <w:pPr>
        <w:pStyle w:val="ListParagraph"/>
        <w:rPr>
          <w:rFonts w:ascii="Arial" w:eastAsiaTheme="minorEastAsia" w:hAnsi="Arial" w:cs="Arial"/>
          <w:lang w:eastAsia="en-GB"/>
        </w:rPr>
      </w:pPr>
    </w:p>
    <w:p w:rsidR="000C2E4B" w:rsidRDefault="009F08E5" w:rsidP="000C2E4B">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w:t>
      </w:r>
      <w:r w:rsidR="000C2E4B">
        <w:rPr>
          <w:rFonts w:ascii="Arial" w:eastAsiaTheme="minorEastAsia" w:hAnsi="Arial" w:cs="Arial"/>
          <w:lang w:eastAsia="en-GB"/>
        </w:rPr>
        <w:t xml:space="preserve">If </w:t>
      </w:r>
      <w:r w:rsidR="00876A4C">
        <w:rPr>
          <w:rFonts w:ascii="Arial" w:eastAsiaTheme="minorEastAsia" w:hAnsi="Arial" w:cs="Arial"/>
          <w:lang w:eastAsia="en-GB"/>
        </w:rPr>
        <w:t>the Hearing</w:t>
      </w:r>
      <w:r w:rsidR="000C2E4B">
        <w:rPr>
          <w:rFonts w:ascii="Arial" w:eastAsiaTheme="minorEastAsia" w:hAnsi="Arial" w:cs="Arial"/>
          <w:lang w:eastAsia="en-GB"/>
        </w:rPr>
        <w:t>’s Legal Team intends to present to the Commission a witness, whose evidence implicates or may implicate another person, it must through the National Hearing Coordinator, notify that person (“</w:t>
      </w:r>
      <w:r w:rsidR="000C2E4B" w:rsidRPr="00DF32EA">
        <w:rPr>
          <w:rFonts w:ascii="Arial" w:eastAsiaTheme="minorEastAsia" w:hAnsi="Arial" w:cs="Arial"/>
          <w:iCs/>
          <w:lang w:eastAsia="en-GB"/>
        </w:rPr>
        <w:t>implicated person</w:t>
      </w:r>
      <w:r w:rsidR="000C2E4B">
        <w:rPr>
          <w:rFonts w:ascii="Arial" w:eastAsiaTheme="minorEastAsia" w:hAnsi="Arial" w:cs="Arial"/>
          <w:lang w:eastAsia="en-GB"/>
        </w:rPr>
        <w:t xml:space="preserve">”) </w:t>
      </w:r>
      <w:r>
        <w:rPr>
          <w:rFonts w:ascii="Arial" w:eastAsiaTheme="minorEastAsia" w:hAnsi="Arial" w:cs="Arial"/>
          <w:lang w:eastAsia="en-GB"/>
        </w:rPr>
        <w:t>in writing</w:t>
      </w:r>
      <w:r w:rsidR="005C4596">
        <w:rPr>
          <w:rFonts w:ascii="Arial" w:eastAsiaTheme="minorEastAsia" w:hAnsi="Arial" w:cs="Arial"/>
          <w:lang w:eastAsia="en-GB"/>
        </w:rPr>
        <w:t xml:space="preserve"> within a reasonable period</w:t>
      </w:r>
      <w:r w:rsidR="00B87FE0">
        <w:rPr>
          <w:rFonts w:ascii="Arial" w:eastAsiaTheme="minorEastAsia" w:hAnsi="Arial" w:cs="Arial"/>
          <w:lang w:eastAsia="en-GB"/>
        </w:rPr>
        <w:t xml:space="preserve"> of time</w:t>
      </w:r>
    </w:p>
    <w:p w:rsidR="009F08E5" w:rsidRPr="009F08E5" w:rsidRDefault="009F08E5" w:rsidP="009F08E5">
      <w:pPr>
        <w:pStyle w:val="ListParagraph"/>
        <w:rPr>
          <w:rFonts w:ascii="Arial" w:eastAsiaTheme="minorEastAsia" w:hAnsi="Arial" w:cs="Arial"/>
          <w:lang w:eastAsia="en-GB"/>
        </w:rPr>
      </w:pPr>
    </w:p>
    <w:p w:rsidR="005C4596" w:rsidRDefault="009F08E5" w:rsidP="000C2E4B">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w:t>
      </w:r>
      <w:r w:rsidR="005C4596">
        <w:rPr>
          <w:rFonts w:ascii="Arial" w:eastAsiaTheme="minorEastAsia" w:hAnsi="Arial" w:cs="Arial"/>
          <w:lang w:eastAsia="en-GB"/>
        </w:rPr>
        <w:t xml:space="preserve">In accordance with </w:t>
      </w:r>
      <w:r>
        <w:rPr>
          <w:rFonts w:ascii="Arial" w:eastAsiaTheme="minorEastAsia" w:hAnsi="Arial" w:cs="Arial"/>
          <w:lang w:eastAsia="en-GB"/>
        </w:rPr>
        <w:t xml:space="preserve">section 15(5) of the SAHRC Act, </w:t>
      </w:r>
      <w:r w:rsidR="005C4596">
        <w:rPr>
          <w:rFonts w:ascii="Arial" w:eastAsiaTheme="minorEastAsia" w:hAnsi="Arial" w:cs="Arial"/>
          <w:lang w:eastAsia="en-GB"/>
        </w:rPr>
        <w:t>there is no right to cross-examine a witness before the Hearing but the Chairperson, after consultation with the Hearing Panel, may permit cross-examination should he deem it necessary and in the interests of the work of the Hearing Panel to do so.</w:t>
      </w:r>
    </w:p>
    <w:p w:rsidR="005C4596" w:rsidRPr="005C4596" w:rsidRDefault="005C4596" w:rsidP="005C4596">
      <w:pPr>
        <w:pStyle w:val="ListParagraph"/>
        <w:rPr>
          <w:rFonts w:ascii="Arial" w:eastAsiaTheme="minorEastAsia" w:hAnsi="Arial" w:cs="Arial"/>
          <w:lang w:eastAsia="en-GB"/>
        </w:rPr>
      </w:pPr>
    </w:p>
    <w:p w:rsidR="009F08E5" w:rsidRDefault="005C4596" w:rsidP="000C2E4B">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S</w:t>
      </w:r>
      <w:r w:rsidR="009F08E5">
        <w:rPr>
          <w:rFonts w:ascii="Arial" w:eastAsiaTheme="minorEastAsia" w:hAnsi="Arial" w:cs="Arial"/>
          <w:lang w:eastAsia="en-GB"/>
        </w:rPr>
        <w:t xml:space="preserve">uch implicated person is entitled to, through the Commission’s Legal Team, direct questions to other witnesses. </w:t>
      </w:r>
    </w:p>
    <w:p w:rsidR="009F08E5" w:rsidRPr="009F08E5" w:rsidRDefault="009F08E5" w:rsidP="009F08E5">
      <w:pPr>
        <w:pStyle w:val="ListParagraph"/>
        <w:rPr>
          <w:rFonts w:ascii="Arial" w:eastAsiaTheme="minorEastAsia" w:hAnsi="Arial" w:cs="Arial"/>
          <w:lang w:eastAsia="en-GB"/>
        </w:rPr>
      </w:pPr>
    </w:p>
    <w:p w:rsidR="009F08E5" w:rsidRDefault="009F08E5" w:rsidP="000C2E4B">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The opportunity afforded to the implicated person to put questions to witnesses should be done through further written submissions.</w:t>
      </w:r>
    </w:p>
    <w:p w:rsidR="00830004" w:rsidRPr="00830004" w:rsidRDefault="00830004" w:rsidP="00830004">
      <w:pPr>
        <w:pStyle w:val="ListParagraph"/>
        <w:rPr>
          <w:rFonts w:ascii="Arial" w:eastAsiaTheme="minorEastAsia" w:hAnsi="Arial" w:cs="Arial"/>
          <w:lang w:eastAsia="en-GB"/>
        </w:rPr>
      </w:pPr>
    </w:p>
    <w:p w:rsidR="00830004" w:rsidRPr="00830004" w:rsidRDefault="00830004" w:rsidP="00830004">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Alternatively, t</w:t>
      </w:r>
      <w:r w:rsidRPr="00830004">
        <w:rPr>
          <w:rFonts w:ascii="Arial" w:hAnsi="Arial" w:cs="Arial"/>
        </w:rPr>
        <w:t>he</w:t>
      </w:r>
      <w:r w:rsidRPr="00830004">
        <w:rPr>
          <w:rFonts w:ascii="Arial" w:hAnsi="Arial" w:cs="Arial"/>
          <w:spacing w:val="-11"/>
        </w:rPr>
        <w:t xml:space="preserve"> </w:t>
      </w:r>
      <w:r w:rsidR="00876A4C">
        <w:rPr>
          <w:rFonts w:ascii="Arial" w:hAnsi="Arial" w:cs="Arial"/>
        </w:rPr>
        <w:t>Hearing’</w:t>
      </w:r>
      <w:r>
        <w:rPr>
          <w:rFonts w:ascii="Arial" w:hAnsi="Arial" w:cs="Arial"/>
          <w:spacing w:val="-11"/>
        </w:rPr>
        <w:t xml:space="preserve">s Legal Team </w:t>
      </w:r>
      <w:r w:rsidR="00B87FE0">
        <w:rPr>
          <w:rFonts w:ascii="Arial" w:hAnsi="Arial" w:cs="Arial"/>
          <w:spacing w:val="-11"/>
        </w:rPr>
        <w:t>may</w:t>
      </w:r>
      <w:r w:rsidRPr="00830004">
        <w:rPr>
          <w:rFonts w:ascii="Arial" w:hAnsi="Arial" w:cs="Arial"/>
          <w:spacing w:val="-10"/>
        </w:rPr>
        <w:t xml:space="preserve"> </w:t>
      </w:r>
      <w:r w:rsidRPr="00830004">
        <w:rPr>
          <w:rFonts w:ascii="Arial" w:hAnsi="Arial" w:cs="Arial"/>
        </w:rPr>
        <w:t>require</w:t>
      </w:r>
      <w:r w:rsidRPr="00830004">
        <w:rPr>
          <w:rFonts w:ascii="Arial" w:hAnsi="Arial" w:cs="Arial"/>
          <w:spacing w:val="-13"/>
        </w:rPr>
        <w:t xml:space="preserve"> </w:t>
      </w:r>
      <w:r w:rsidRPr="00830004">
        <w:rPr>
          <w:rFonts w:ascii="Arial" w:hAnsi="Arial" w:cs="Arial"/>
        </w:rPr>
        <w:t>that</w:t>
      </w:r>
      <w:r w:rsidRPr="00830004">
        <w:rPr>
          <w:rFonts w:ascii="Arial" w:hAnsi="Arial" w:cs="Arial"/>
          <w:spacing w:val="-7"/>
        </w:rPr>
        <w:t xml:space="preserve"> </w:t>
      </w:r>
      <w:r w:rsidRPr="00830004">
        <w:rPr>
          <w:rFonts w:ascii="Arial" w:hAnsi="Arial" w:cs="Arial"/>
        </w:rPr>
        <w:t>a</w:t>
      </w:r>
      <w:r w:rsidRPr="00830004">
        <w:rPr>
          <w:rFonts w:ascii="Arial" w:hAnsi="Arial" w:cs="Arial"/>
          <w:spacing w:val="-12"/>
        </w:rPr>
        <w:t xml:space="preserve"> </w:t>
      </w:r>
      <w:r w:rsidRPr="00830004">
        <w:rPr>
          <w:rFonts w:ascii="Arial" w:hAnsi="Arial" w:cs="Arial"/>
        </w:rPr>
        <w:t>party</w:t>
      </w:r>
      <w:r w:rsidRPr="00830004">
        <w:rPr>
          <w:rFonts w:ascii="Arial" w:hAnsi="Arial" w:cs="Arial"/>
          <w:spacing w:val="-14"/>
        </w:rPr>
        <w:t xml:space="preserve"> </w:t>
      </w:r>
      <w:r w:rsidRPr="00830004">
        <w:rPr>
          <w:rFonts w:ascii="Arial" w:hAnsi="Arial" w:cs="Arial"/>
        </w:rPr>
        <w:t>submit</w:t>
      </w:r>
      <w:r w:rsidRPr="00830004">
        <w:rPr>
          <w:rFonts w:ascii="Arial" w:hAnsi="Arial" w:cs="Arial"/>
          <w:spacing w:val="-12"/>
        </w:rPr>
        <w:t xml:space="preserve"> </w:t>
      </w:r>
      <w:r w:rsidRPr="00830004">
        <w:rPr>
          <w:rFonts w:ascii="Arial" w:hAnsi="Arial" w:cs="Arial"/>
        </w:rPr>
        <w:t>to</w:t>
      </w:r>
      <w:r w:rsidRPr="00830004">
        <w:rPr>
          <w:rFonts w:ascii="Arial" w:hAnsi="Arial" w:cs="Arial"/>
          <w:spacing w:val="-10"/>
        </w:rPr>
        <w:t xml:space="preserve"> </w:t>
      </w:r>
      <w:r w:rsidRPr="00830004">
        <w:rPr>
          <w:rFonts w:ascii="Arial" w:hAnsi="Arial" w:cs="Arial"/>
        </w:rPr>
        <w:t>it</w:t>
      </w:r>
      <w:r w:rsidRPr="00830004">
        <w:rPr>
          <w:rFonts w:ascii="Arial" w:hAnsi="Arial" w:cs="Arial"/>
          <w:spacing w:val="-12"/>
        </w:rPr>
        <w:t xml:space="preserve"> </w:t>
      </w:r>
      <w:r w:rsidRPr="00830004">
        <w:rPr>
          <w:rFonts w:ascii="Arial" w:hAnsi="Arial" w:cs="Arial"/>
        </w:rPr>
        <w:t>a</w:t>
      </w:r>
      <w:r w:rsidRPr="00830004">
        <w:rPr>
          <w:rFonts w:ascii="Arial" w:hAnsi="Arial" w:cs="Arial"/>
          <w:spacing w:val="-15"/>
        </w:rPr>
        <w:t xml:space="preserve"> </w:t>
      </w:r>
      <w:r w:rsidRPr="00830004">
        <w:rPr>
          <w:rFonts w:ascii="Arial" w:hAnsi="Arial" w:cs="Arial"/>
        </w:rPr>
        <w:t xml:space="preserve">written list of questions for a witness, </w:t>
      </w:r>
      <w:r w:rsidR="00B87FE0">
        <w:rPr>
          <w:rFonts w:ascii="Arial" w:hAnsi="Arial" w:cs="Arial"/>
        </w:rPr>
        <w:t>to be</w:t>
      </w:r>
      <w:r w:rsidRPr="00830004">
        <w:rPr>
          <w:rFonts w:ascii="Arial" w:hAnsi="Arial" w:cs="Arial"/>
        </w:rPr>
        <w:t xml:space="preserve"> directed by the</w:t>
      </w:r>
      <w:r w:rsidRPr="00830004">
        <w:rPr>
          <w:rFonts w:ascii="Arial" w:hAnsi="Arial" w:cs="Arial"/>
          <w:spacing w:val="-37"/>
        </w:rPr>
        <w:t xml:space="preserve"> </w:t>
      </w:r>
      <w:r w:rsidR="00876A4C">
        <w:rPr>
          <w:rFonts w:ascii="Arial" w:hAnsi="Arial" w:cs="Arial"/>
        </w:rPr>
        <w:t>Hearing</w:t>
      </w:r>
      <w:r>
        <w:rPr>
          <w:rFonts w:ascii="Arial" w:hAnsi="Arial" w:cs="Arial"/>
        </w:rPr>
        <w:t>’s Legal Team</w:t>
      </w:r>
      <w:r w:rsidRPr="00830004">
        <w:rPr>
          <w:rFonts w:ascii="Arial" w:hAnsi="Arial" w:cs="Arial"/>
        </w:rPr>
        <w:t xml:space="preserve"> to a witness orally in the same sitting, or in a different</w:t>
      </w:r>
      <w:r w:rsidRPr="00830004">
        <w:rPr>
          <w:rFonts w:ascii="Arial" w:hAnsi="Arial" w:cs="Arial"/>
          <w:spacing w:val="-8"/>
        </w:rPr>
        <w:t xml:space="preserve"> </w:t>
      </w:r>
      <w:r w:rsidRPr="00830004">
        <w:rPr>
          <w:rFonts w:ascii="Arial" w:hAnsi="Arial" w:cs="Arial"/>
        </w:rPr>
        <w:t>sitting.</w:t>
      </w:r>
    </w:p>
    <w:p w:rsidR="00830004" w:rsidRPr="00830004" w:rsidRDefault="00830004" w:rsidP="00830004">
      <w:pPr>
        <w:pStyle w:val="ListParagraph"/>
        <w:rPr>
          <w:rFonts w:ascii="Arial" w:eastAsiaTheme="minorEastAsia" w:hAnsi="Arial" w:cs="Arial"/>
          <w:lang w:eastAsia="en-GB"/>
        </w:rPr>
      </w:pPr>
    </w:p>
    <w:p w:rsidR="00830004" w:rsidRPr="005C4596" w:rsidRDefault="00830004" w:rsidP="00830004">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hAnsi="Arial" w:cs="Arial"/>
        </w:rPr>
        <w:t xml:space="preserve"> P</w:t>
      </w:r>
      <w:r w:rsidRPr="00830004">
        <w:rPr>
          <w:rFonts w:ascii="Arial" w:hAnsi="Arial" w:cs="Arial"/>
        </w:rPr>
        <w:t>arties will be given an opportunity to make further written submissions, on receipt of the provisional findings by the</w:t>
      </w:r>
      <w:r w:rsidRPr="00830004">
        <w:rPr>
          <w:rFonts w:ascii="Arial" w:hAnsi="Arial" w:cs="Arial"/>
          <w:spacing w:val="-4"/>
        </w:rPr>
        <w:t xml:space="preserve"> </w:t>
      </w:r>
      <w:r>
        <w:rPr>
          <w:rFonts w:ascii="Arial" w:hAnsi="Arial" w:cs="Arial"/>
        </w:rPr>
        <w:t>Hearing Panel</w:t>
      </w:r>
      <w:r w:rsidRPr="00830004">
        <w:rPr>
          <w:rFonts w:ascii="Arial" w:hAnsi="Arial" w:cs="Arial"/>
        </w:rPr>
        <w:t>.</w:t>
      </w:r>
    </w:p>
    <w:p w:rsidR="005C4596" w:rsidRPr="005C4596" w:rsidRDefault="005C4596" w:rsidP="005C4596">
      <w:pPr>
        <w:pStyle w:val="ListParagraph"/>
        <w:rPr>
          <w:rFonts w:ascii="Arial" w:eastAsiaTheme="minorEastAsia" w:hAnsi="Arial" w:cs="Arial"/>
          <w:lang w:eastAsia="en-GB"/>
        </w:rPr>
      </w:pPr>
    </w:p>
    <w:p w:rsidR="005C4596" w:rsidRPr="0044376D" w:rsidRDefault="005C4596" w:rsidP="005C4596">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hAnsi="Arial" w:cs="Arial"/>
        </w:rPr>
        <w:t xml:space="preserve"> O</w:t>
      </w:r>
      <w:r w:rsidRPr="005C4596">
        <w:rPr>
          <w:rFonts w:ascii="Arial" w:hAnsi="Arial" w:cs="Arial"/>
        </w:rPr>
        <w:t>ral</w:t>
      </w:r>
      <w:r w:rsidRPr="005C4596">
        <w:rPr>
          <w:rFonts w:ascii="Arial" w:hAnsi="Arial" w:cs="Arial"/>
          <w:spacing w:val="-12"/>
        </w:rPr>
        <w:t xml:space="preserve"> </w:t>
      </w:r>
      <w:r w:rsidRPr="005C4596">
        <w:rPr>
          <w:rFonts w:ascii="Arial" w:hAnsi="Arial" w:cs="Arial"/>
        </w:rPr>
        <w:t xml:space="preserve">testimony must be made by the parties themselves, </w:t>
      </w:r>
      <w:r>
        <w:rPr>
          <w:rFonts w:ascii="Arial" w:hAnsi="Arial" w:cs="Arial"/>
        </w:rPr>
        <w:t xml:space="preserve">and any </w:t>
      </w:r>
      <w:r w:rsidRPr="005C4596">
        <w:rPr>
          <w:rFonts w:ascii="Arial" w:hAnsi="Arial" w:cs="Arial"/>
        </w:rPr>
        <w:t xml:space="preserve">legal argument (in particular, in the closing statements) </w:t>
      </w:r>
      <w:r w:rsidR="00B87FE0">
        <w:rPr>
          <w:rFonts w:ascii="Arial" w:hAnsi="Arial" w:cs="Arial"/>
        </w:rPr>
        <w:t>may</w:t>
      </w:r>
      <w:r w:rsidRPr="005C4596">
        <w:rPr>
          <w:rFonts w:ascii="Arial" w:hAnsi="Arial" w:cs="Arial"/>
        </w:rPr>
        <w:t xml:space="preserve"> be made via legal</w:t>
      </w:r>
      <w:r w:rsidRPr="005C4596">
        <w:rPr>
          <w:rFonts w:ascii="Arial" w:hAnsi="Arial" w:cs="Arial"/>
          <w:spacing w:val="-6"/>
        </w:rPr>
        <w:t xml:space="preserve"> </w:t>
      </w:r>
      <w:r w:rsidRPr="005C4596">
        <w:rPr>
          <w:rFonts w:ascii="Arial" w:hAnsi="Arial" w:cs="Arial"/>
        </w:rPr>
        <w:t>representatives.</w:t>
      </w:r>
    </w:p>
    <w:p w:rsidR="0044376D" w:rsidRPr="0044376D" w:rsidRDefault="0044376D" w:rsidP="0044376D">
      <w:pPr>
        <w:pStyle w:val="ListParagraph"/>
        <w:rPr>
          <w:rFonts w:ascii="Arial" w:eastAsiaTheme="minorEastAsia" w:hAnsi="Arial" w:cs="Arial"/>
          <w:lang w:eastAsia="en-GB"/>
        </w:rPr>
      </w:pPr>
    </w:p>
    <w:p w:rsidR="0044376D" w:rsidRDefault="0044376D" w:rsidP="005C4596">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Witnesses will be called to give oral evidence before the Hearing at the discretion of the Investigative Hearing’s Legal Team. </w:t>
      </w:r>
    </w:p>
    <w:p w:rsidR="0044376D" w:rsidRPr="0044376D" w:rsidRDefault="0044376D" w:rsidP="0044376D">
      <w:pPr>
        <w:pStyle w:val="ListParagraph"/>
        <w:rPr>
          <w:rFonts w:ascii="Arial" w:eastAsiaTheme="minorEastAsia" w:hAnsi="Arial" w:cs="Arial"/>
          <w:lang w:eastAsia="en-GB"/>
        </w:rPr>
      </w:pPr>
    </w:p>
    <w:p w:rsidR="0044376D" w:rsidRDefault="00780DA8" w:rsidP="005C4596">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w:t>
      </w:r>
      <w:r w:rsidR="0044376D">
        <w:rPr>
          <w:rFonts w:ascii="Arial" w:eastAsiaTheme="minorEastAsia" w:hAnsi="Arial" w:cs="Arial"/>
          <w:lang w:eastAsia="en-GB"/>
        </w:rPr>
        <w:t>A witness appearing before the Hearing may be assisted by a legal representative</w:t>
      </w:r>
      <w:r w:rsidR="00B87FE0">
        <w:rPr>
          <w:rFonts w:ascii="Arial" w:eastAsiaTheme="minorEastAsia" w:hAnsi="Arial" w:cs="Arial"/>
          <w:lang w:eastAsia="en-GB"/>
        </w:rPr>
        <w:t>, but a witness may not respond or present information through a legal representative unless such person is a minor</w:t>
      </w:r>
    </w:p>
    <w:p w:rsidR="0044376D" w:rsidRPr="0044376D" w:rsidRDefault="0044376D" w:rsidP="0044376D">
      <w:pPr>
        <w:pStyle w:val="ListParagraph"/>
        <w:rPr>
          <w:rFonts w:ascii="Arial" w:eastAsiaTheme="minorEastAsia" w:hAnsi="Arial" w:cs="Arial"/>
          <w:lang w:eastAsia="en-GB"/>
        </w:rPr>
      </w:pPr>
    </w:p>
    <w:p w:rsidR="0044376D" w:rsidRDefault="00780DA8" w:rsidP="0044376D">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w:t>
      </w:r>
      <w:r w:rsidR="0044376D">
        <w:rPr>
          <w:rFonts w:ascii="Arial" w:eastAsiaTheme="minorEastAsia" w:hAnsi="Arial" w:cs="Arial"/>
          <w:lang w:eastAsia="en-GB"/>
        </w:rPr>
        <w:t>The order or sequence in which witnesses will be called before the Investigative Hearing will be subject to the discretion of the Investigative Hearing’s Legal Team.</w:t>
      </w:r>
    </w:p>
    <w:p w:rsidR="00876A4C" w:rsidRPr="00876A4C" w:rsidRDefault="00876A4C" w:rsidP="00876A4C">
      <w:pPr>
        <w:pStyle w:val="ListParagraph"/>
        <w:rPr>
          <w:rFonts w:ascii="Arial" w:eastAsiaTheme="minorEastAsia" w:hAnsi="Arial" w:cs="Arial"/>
          <w:lang w:eastAsia="en-GB"/>
        </w:rPr>
      </w:pPr>
    </w:p>
    <w:p w:rsidR="00876A4C" w:rsidRPr="0044376D" w:rsidRDefault="00876A4C" w:rsidP="00876A4C">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eastAsiaTheme="minorEastAsia" w:hAnsi="Arial" w:cs="Arial"/>
          <w:lang w:eastAsia="en-GB"/>
        </w:rPr>
      </w:pPr>
    </w:p>
    <w:p w:rsidR="00830004" w:rsidRDefault="00830004" w:rsidP="005C4596">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eastAsiaTheme="minorEastAsia" w:hAnsi="Arial" w:cs="Arial"/>
          <w:lang w:eastAsia="en-GB"/>
        </w:rPr>
      </w:pPr>
    </w:p>
    <w:p w:rsidR="005C4596" w:rsidRPr="005C4596" w:rsidRDefault="005C4596" w:rsidP="005C4596">
      <w:pPr>
        <w:pStyle w:val="ListParagraph"/>
        <w:widowControl w:val="0"/>
        <w:numPr>
          <w:ilvl w:val="0"/>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b/>
          <w:lang w:eastAsia="en-GB"/>
        </w:rPr>
      </w:pPr>
      <w:r w:rsidRPr="005C4596">
        <w:rPr>
          <w:rFonts w:ascii="Arial" w:eastAsiaTheme="minorEastAsia" w:hAnsi="Arial" w:cs="Arial"/>
          <w:b/>
          <w:lang w:eastAsia="en-GB"/>
        </w:rPr>
        <w:t xml:space="preserve">Evidence presented to the </w:t>
      </w:r>
      <w:r w:rsidR="005907D7">
        <w:rPr>
          <w:rFonts w:ascii="Arial" w:eastAsiaTheme="minorEastAsia" w:hAnsi="Arial" w:cs="Arial"/>
          <w:b/>
          <w:lang w:eastAsia="en-GB"/>
        </w:rPr>
        <w:t xml:space="preserve">Investigative </w:t>
      </w:r>
      <w:r w:rsidRPr="005C4596">
        <w:rPr>
          <w:rFonts w:ascii="Arial" w:eastAsiaTheme="minorEastAsia" w:hAnsi="Arial" w:cs="Arial"/>
          <w:b/>
          <w:lang w:eastAsia="en-GB"/>
        </w:rPr>
        <w:t>Hearing</w:t>
      </w:r>
    </w:p>
    <w:p w:rsidR="005C4596" w:rsidRDefault="005C4596" w:rsidP="005C4596">
      <w:pPr>
        <w:pStyle w:val="ListParagraph"/>
        <w:widowControl w:val="0"/>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p>
    <w:p w:rsidR="005C4596" w:rsidRDefault="005907D7" w:rsidP="005C4596">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w:t>
      </w:r>
      <w:r w:rsidR="005C4596">
        <w:rPr>
          <w:rFonts w:ascii="Arial" w:eastAsiaTheme="minorEastAsia" w:hAnsi="Arial" w:cs="Arial"/>
          <w:lang w:eastAsia="en-GB"/>
        </w:rPr>
        <w:t xml:space="preserve">The </w:t>
      </w:r>
      <w:r>
        <w:rPr>
          <w:rFonts w:ascii="Arial" w:eastAsiaTheme="minorEastAsia" w:hAnsi="Arial" w:cs="Arial"/>
          <w:lang w:eastAsia="en-GB"/>
        </w:rPr>
        <w:t xml:space="preserve">Investigative Hearing </w:t>
      </w:r>
      <w:r w:rsidR="005C4596">
        <w:rPr>
          <w:rFonts w:ascii="Arial" w:eastAsiaTheme="minorEastAsia" w:hAnsi="Arial" w:cs="Arial"/>
          <w:lang w:eastAsia="en-GB"/>
        </w:rPr>
        <w:t xml:space="preserve">may receive any evidence that is relevant to the terms of reference and its mandate, including evidence that might otherwise be inadmissible in a court of law. </w:t>
      </w:r>
      <w:r>
        <w:rPr>
          <w:rFonts w:ascii="Arial" w:eastAsiaTheme="minorEastAsia" w:hAnsi="Arial" w:cs="Arial"/>
          <w:lang w:eastAsia="en-GB"/>
        </w:rPr>
        <w:t>The rules of evidence applicable in a court of law need not be strictly applied to the determination of the admissibility of the evidence before the Investigative Hearing.</w:t>
      </w:r>
    </w:p>
    <w:p w:rsidR="005907D7" w:rsidRDefault="005907D7" w:rsidP="005907D7">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eastAsiaTheme="minorEastAsia" w:hAnsi="Arial" w:cs="Arial"/>
          <w:lang w:eastAsia="en-GB"/>
        </w:rPr>
      </w:pPr>
    </w:p>
    <w:p w:rsidR="005907D7" w:rsidRDefault="005907D7" w:rsidP="005C4596">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Anyone who has knowledge of the matters that fall within the Terms of Reference for the Investigative Hearing may deliver to the Coordinator of the Hearing a statement or affidavit setting out that information and the Coordinator will hand it over to the Investigative Hearing’s Legal Team for consideration.</w:t>
      </w:r>
    </w:p>
    <w:p w:rsidR="005907D7" w:rsidRPr="005907D7" w:rsidRDefault="005907D7" w:rsidP="005907D7">
      <w:pPr>
        <w:pStyle w:val="ListParagraph"/>
        <w:rPr>
          <w:rFonts w:ascii="Arial" w:eastAsiaTheme="minorEastAsia" w:hAnsi="Arial" w:cs="Arial"/>
          <w:lang w:eastAsia="en-GB"/>
        </w:rPr>
      </w:pPr>
    </w:p>
    <w:p w:rsidR="005907D7" w:rsidRDefault="005907D7" w:rsidP="005C4596">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Affidavits or statements that are submitted to the Investigative Hearing should:</w:t>
      </w:r>
    </w:p>
    <w:p w:rsidR="005907D7" w:rsidRPr="005907D7" w:rsidRDefault="005907D7" w:rsidP="005907D7">
      <w:pPr>
        <w:pStyle w:val="ListParagraph"/>
        <w:rPr>
          <w:rFonts w:ascii="Arial" w:eastAsiaTheme="minorEastAsia" w:hAnsi="Arial" w:cs="Arial"/>
          <w:lang w:eastAsia="en-GB"/>
        </w:rPr>
      </w:pPr>
    </w:p>
    <w:p w:rsidR="005907D7" w:rsidRDefault="005907D7" w:rsidP="005907D7">
      <w:pPr>
        <w:pStyle w:val="ListParagraph"/>
        <w:widowControl w:val="0"/>
        <w:numPr>
          <w:ilvl w:val="2"/>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Be formatted in numbered paragraphs, and </w:t>
      </w:r>
    </w:p>
    <w:p w:rsidR="005907D7" w:rsidRDefault="005907D7" w:rsidP="005907D7">
      <w:pPr>
        <w:pStyle w:val="ListParagraph"/>
        <w:widowControl w:val="0"/>
        <w:numPr>
          <w:ilvl w:val="2"/>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Include an index and subject matter headings if the statement or affidavit is more than five pages in length.</w:t>
      </w:r>
    </w:p>
    <w:p w:rsidR="005907D7" w:rsidRDefault="005907D7" w:rsidP="005907D7">
      <w:pPr>
        <w:pStyle w:val="ListParagraph"/>
        <w:widowControl w:val="0"/>
        <w:tabs>
          <w:tab w:val="left" w:pos="1349"/>
        </w:tabs>
        <w:kinsoku w:val="0"/>
        <w:overflowPunct w:val="0"/>
        <w:autoSpaceDE w:val="0"/>
        <w:autoSpaceDN w:val="0"/>
        <w:adjustRightInd w:val="0"/>
        <w:spacing w:before="246" w:after="0" w:line="360" w:lineRule="auto"/>
        <w:ind w:left="1800" w:right="115"/>
        <w:jc w:val="both"/>
        <w:rPr>
          <w:rFonts w:ascii="Arial" w:eastAsiaTheme="minorEastAsia" w:hAnsi="Arial" w:cs="Arial"/>
          <w:lang w:eastAsia="en-GB"/>
        </w:rPr>
      </w:pPr>
    </w:p>
    <w:p w:rsidR="005907D7" w:rsidRDefault="005907D7" w:rsidP="005907D7">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Where a person seeks to provide expert evidence to the Investigative Hearing, his or her evidence must include a summary of relevant qualifications and experience, a summary of the expert’s opinion, as well as an explanation of the relevance of the expert’s testimony to the work of the Investigative Hearing.</w:t>
      </w:r>
    </w:p>
    <w:p w:rsidR="005907D7" w:rsidRDefault="005907D7" w:rsidP="005907D7">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eastAsiaTheme="minorEastAsia" w:hAnsi="Arial" w:cs="Arial"/>
          <w:lang w:eastAsia="en-GB"/>
        </w:rPr>
      </w:pPr>
    </w:p>
    <w:p w:rsidR="005907D7" w:rsidRDefault="005907D7" w:rsidP="005907D7">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Where the evidence intended to be placed before the Investigative Hearing has previously been placed before another Inquiry or tribunal</w:t>
      </w:r>
      <w:r w:rsidR="0044376D">
        <w:rPr>
          <w:rFonts w:ascii="Arial" w:eastAsiaTheme="minorEastAsia" w:hAnsi="Arial" w:cs="Arial"/>
          <w:lang w:eastAsia="en-GB"/>
        </w:rPr>
        <w:t xml:space="preserve"> or C</w:t>
      </w:r>
      <w:r>
        <w:rPr>
          <w:rFonts w:ascii="Arial" w:eastAsiaTheme="minorEastAsia" w:hAnsi="Arial" w:cs="Arial"/>
          <w:lang w:eastAsia="en-GB"/>
        </w:rPr>
        <w:t>ourt</w:t>
      </w:r>
      <w:r w:rsidR="0044376D">
        <w:rPr>
          <w:rFonts w:ascii="Arial" w:eastAsiaTheme="minorEastAsia" w:hAnsi="Arial" w:cs="Arial"/>
          <w:lang w:eastAsia="en-GB"/>
        </w:rPr>
        <w:t xml:space="preserve"> or body, that fact must be disclosed by the person submitting that evidence in order for the Investigative Hearing to secure the relevant transcript in respect of those proceedings.</w:t>
      </w:r>
    </w:p>
    <w:p w:rsidR="00B87FE0" w:rsidRPr="005B5363" w:rsidRDefault="00B87FE0" w:rsidP="005B5363">
      <w:pPr>
        <w:pStyle w:val="ListParagraph"/>
        <w:rPr>
          <w:rFonts w:ascii="Arial" w:eastAsiaTheme="minorEastAsia" w:hAnsi="Arial" w:cs="Arial"/>
          <w:lang w:eastAsia="en-GB"/>
        </w:rPr>
      </w:pPr>
    </w:p>
    <w:p w:rsidR="00B87FE0" w:rsidRDefault="007A4944" w:rsidP="005907D7">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The Panel shall determine whether which records or parts of records provided in the course of the investigation may be made public upon request for such record. Records or information provided to the Hearing which carry restricted classifications shall be treated as such unless to the knowledge of the Panel such record or information has already been made public.</w:t>
      </w:r>
    </w:p>
    <w:p w:rsidR="0044376D" w:rsidRPr="0044376D" w:rsidRDefault="0044376D" w:rsidP="0044376D">
      <w:pPr>
        <w:pStyle w:val="ListParagraph"/>
        <w:rPr>
          <w:rFonts w:ascii="Arial" w:eastAsiaTheme="minorEastAsia" w:hAnsi="Arial" w:cs="Arial"/>
          <w:lang w:eastAsia="en-GB"/>
        </w:rPr>
      </w:pPr>
    </w:p>
    <w:p w:rsidR="0044376D" w:rsidRDefault="0044376D" w:rsidP="0044376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eastAsiaTheme="minorEastAsia" w:hAnsi="Arial" w:cs="Arial"/>
          <w:lang w:eastAsia="en-GB"/>
        </w:rPr>
      </w:pPr>
    </w:p>
    <w:p w:rsidR="0044376D" w:rsidRDefault="0044376D" w:rsidP="0044376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eastAsiaTheme="minorEastAsia" w:hAnsi="Arial" w:cs="Arial"/>
          <w:lang w:eastAsia="en-GB"/>
        </w:rPr>
      </w:pPr>
    </w:p>
    <w:p w:rsidR="00B87FE0" w:rsidRDefault="00B87FE0" w:rsidP="0044376D">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eastAsiaTheme="minorEastAsia" w:hAnsi="Arial" w:cs="Arial"/>
          <w:lang w:eastAsia="en-GB"/>
        </w:rPr>
      </w:pPr>
    </w:p>
    <w:p w:rsidR="0044376D" w:rsidRPr="00876A4C" w:rsidRDefault="00876A4C" w:rsidP="00876A4C">
      <w:pPr>
        <w:pStyle w:val="ListParagraph"/>
        <w:widowControl w:val="0"/>
        <w:numPr>
          <w:ilvl w:val="0"/>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b/>
          <w:lang w:eastAsia="en-GB"/>
        </w:rPr>
      </w:pPr>
      <w:r w:rsidRPr="00876A4C">
        <w:rPr>
          <w:rFonts w:ascii="Arial" w:eastAsiaTheme="minorEastAsia" w:hAnsi="Arial" w:cs="Arial"/>
          <w:b/>
          <w:lang w:eastAsia="en-GB"/>
        </w:rPr>
        <w:t>Call for documents</w:t>
      </w:r>
    </w:p>
    <w:p w:rsidR="00876A4C" w:rsidRDefault="00876A4C" w:rsidP="00876A4C">
      <w:pPr>
        <w:pStyle w:val="ListParagraph"/>
        <w:widowControl w:val="0"/>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p>
    <w:p w:rsidR="00876A4C" w:rsidRDefault="00876A4C" w:rsidP="00876A4C">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In terms of section 15 of the SAHRC Act, the Chairperson may summon any person to produce a document in his or her possession or under his or her control which has a bearing on the matter being investigated.</w:t>
      </w:r>
    </w:p>
    <w:p w:rsidR="00876A4C" w:rsidRDefault="00876A4C" w:rsidP="00876A4C">
      <w:pPr>
        <w:pStyle w:val="ListParagraph"/>
        <w:widowControl w:val="0"/>
        <w:tabs>
          <w:tab w:val="left" w:pos="1349"/>
        </w:tabs>
        <w:kinsoku w:val="0"/>
        <w:overflowPunct w:val="0"/>
        <w:autoSpaceDE w:val="0"/>
        <w:autoSpaceDN w:val="0"/>
        <w:adjustRightInd w:val="0"/>
        <w:spacing w:before="246" w:after="0" w:line="360" w:lineRule="auto"/>
        <w:ind w:left="1440" w:right="115"/>
        <w:jc w:val="both"/>
        <w:rPr>
          <w:rFonts w:ascii="Arial" w:eastAsiaTheme="minorEastAsia" w:hAnsi="Arial" w:cs="Arial"/>
          <w:lang w:eastAsia="en-GB"/>
        </w:rPr>
      </w:pPr>
    </w:p>
    <w:p w:rsidR="00876A4C" w:rsidRDefault="00876A4C" w:rsidP="00876A4C">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 xml:space="preserve"> Any person to whom such a subpoena to produce a document is directed must, within 7 days of receiving such a notice, produce documents requested or submit an affidavit to the Investigative Hearing explaining why those documents cannot be produced.</w:t>
      </w:r>
    </w:p>
    <w:p w:rsidR="00876A4C" w:rsidRPr="00876A4C" w:rsidRDefault="00876A4C" w:rsidP="00876A4C">
      <w:pPr>
        <w:pStyle w:val="ListParagraph"/>
        <w:rPr>
          <w:rFonts w:ascii="Arial" w:eastAsiaTheme="minorEastAsia" w:hAnsi="Arial" w:cs="Arial"/>
          <w:lang w:eastAsia="en-GB"/>
        </w:rPr>
      </w:pPr>
    </w:p>
    <w:p w:rsidR="00876A4C" w:rsidRDefault="00876A4C" w:rsidP="00876A4C">
      <w:pPr>
        <w:pStyle w:val="ListParagraph"/>
        <w:widowControl w:val="0"/>
        <w:numPr>
          <w:ilvl w:val="1"/>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Should a person claim that a document referred to in the subpoena notice is subject to legal professional privilege, he or she must:</w:t>
      </w:r>
    </w:p>
    <w:p w:rsidR="00876A4C" w:rsidRPr="00876A4C" w:rsidRDefault="00876A4C" w:rsidP="00876A4C">
      <w:pPr>
        <w:pStyle w:val="ListParagraph"/>
        <w:rPr>
          <w:rFonts w:ascii="Arial" w:eastAsiaTheme="minorEastAsia" w:hAnsi="Arial" w:cs="Arial"/>
          <w:lang w:eastAsia="en-GB"/>
        </w:rPr>
      </w:pPr>
    </w:p>
    <w:p w:rsidR="00876A4C" w:rsidRDefault="00876A4C" w:rsidP="00876A4C">
      <w:pPr>
        <w:pStyle w:val="ListParagraph"/>
        <w:widowControl w:val="0"/>
        <w:numPr>
          <w:ilvl w:val="2"/>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Identify the document in respect of which privilege is claimed; and</w:t>
      </w:r>
    </w:p>
    <w:p w:rsidR="00876A4C" w:rsidRDefault="00876A4C" w:rsidP="00876A4C">
      <w:pPr>
        <w:pStyle w:val="ListParagraph"/>
        <w:widowControl w:val="0"/>
        <w:numPr>
          <w:ilvl w:val="2"/>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Pr>
          <w:rFonts w:ascii="Arial" w:eastAsiaTheme="minorEastAsia" w:hAnsi="Arial" w:cs="Arial"/>
          <w:lang w:eastAsia="en-GB"/>
        </w:rPr>
        <w:t>Explain the basis for the claim of privilege in relation to each document.</w:t>
      </w:r>
    </w:p>
    <w:p w:rsidR="00534173" w:rsidRDefault="00534173" w:rsidP="00534173">
      <w:pPr>
        <w:pStyle w:val="ListParagraph"/>
        <w:widowControl w:val="0"/>
        <w:tabs>
          <w:tab w:val="left" w:pos="1349"/>
        </w:tabs>
        <w:kinsoku w:val="0"/>
        <w:overflowPunct w:val="0"/>
        <w:autoSpaceDE w:val="0"/>
        <w:autoSpaceDN w:val="0"/>
        <w:adjustRightInd w:val="0"/>
        <w:spacing w:before="246" w:after="0" w:line="360" w:lineRule="auto"/>
        <w:ind w:left="1800" w:right="115"/>
        <w:jc w:val="both"/>
        <w:rPr>
          <w:rFonts w:ascii="Arial" w:eastAsiaTheme="minorEastAsia" w:hAnsi="Arial" w:cs="Arial"/>
          <w:lang w:eastAsia="en-GB"/>
        </w:rPr>
      </w:pPr>
    </w:p>
    <w:p w:rsidR="00876A4C" w:rsidRPr="00534173" w:rsidRDefault="00876A4C" w:rsidP="00534173">
      <w:pPr>
        <w:pStyle w:val="ListParagraph"/>
        <w:widowControl w:val="0"/>
        <w:numPr>
          <w:ilvl w:val="2"/>
          <w:numId w:val="7"/>
        </w:numPr>
        <w:tabs>
          <w:tab w:val="left" w:pos="1349"/>
        </w:tabs>
        <w:kinsoku w:val="0"/>
        <w:overflowPunct w:val="0"/>
        <w:autoSpaceDE w:val="0"/>
        <w:autoSpaceDN w:val="0"/>
        <w:adjustRightInd w:val="0"/>
        <w:spacing w:before="246" w:after="0" w:line="360" w:lineRule="auto"/>
        <w:ind w:right="115"/>
        <w:jc w:val="both"/>
        <w:rPr>
          <w:rFonts w:ascii="Arial" w:eastAsiaTheme="minorEastAsia" w:hAnsi="Arial" w:cs="Arial"/>
          <w:lang w:eastAsia="en-GB"/>
        </w:rPr>
      </w:pPr>
      <w:r w:rsidRPr="00534173">
        <w:rPr>
          <w:rFonts w:ascii="Arial" w:hAnsi="Arial" w:cs="Arial"/>
        </w:rPr>
        <w:t>Should a person claim that a document referred to in the summons is confidential</w:t>
      </w:r>
      <w:r w:rsidR="00534173">
        <w:rPr>
          <w:rFonts w:ascii="Arial" w:hAnsi="Arial" w:cs="Arial"/>
        </w:rPr>
        <w:t xml:space="preserve"> </w:t>
      </w:r>
      <w:r w:rsidRPr="00534173">
        <w:rPr>
          <w:rFonts w:ascii="Arial" w:hAnsi="Arial" w:cs="Arial"/>
        </w:rPr>
        <w:t>for a reason other than that it is subject to legal professional privilege, such as that it is</w:t>
      </w:r>
      <w:r w:rsidR="00534173">
        <w:rPr>
          <w:rFonts w:ascii="Arial" w:hAnsi="Arial" w:cs="Arial"/>
        </w:rPr>
        <w:t xml:space="preserve"> </w:t>
      </w:r>
      <w:r w:rsidRPr="00534173">
        <w:rPr>
          <w:rFonts w:ascii="Arial" w:hAnsi="Arial" w:cs="Arial"/>
        </w:rPr>
        <w:t>commercially sensitive or includes personal information, he or she must produce the</w:t>
      </w:r>
      <w:r w:rsidR="00534173">
        <w:rPr>
          <w:rFonts w:ascii="Arial" w:hAnsi="Arial" w:cs="Arial"/>
        </w:rPr>
        <w:t xml:space="preserve"> </w:t>
      </w:r>
      <w:r w:rsidRPr="00534173">
        <w:rPr>
          <w:rFonts w:ascii="Arial" w:hAnsi="Arial" w:cs="Arial"/>
        </w:rPr>
        <w:t>document but must specify that the document, or part of it, should not be made public</w:t>
      </w:r>
      <w:r w:rsidR="00534173">
        <w:rPr>
          <w:rFonts w:ascii="Arial" w:hAnsi="Arial" w:cs="Arial"/>
        </w:rPr>
        <w:t xml:space="preserve"> </w:t>
      </w:r>
      <w:r w:rsidRPr="00534173">
        <w:rPr>
          <w:rFonts w:ascii="Arial" w:hAnsi="Arial" w:cs="Arial"/>
        </w:rPr>
        <w:t>and must make application for the document (or part of it) to be treated as confidential</w:t>
      </w:r>
    </w:p>
    <w:p w:rsidR="00876A4C" w:rsidRPr="00534173" w:rsidRDefault="00876A4C" w:rsidP="00534173">
      <w:pPr>
        <w:pStyle w:val="ListParagraph"/>
        <w:widowControl w:val="0"/>
        <w:tabs>
          <w:tab w:val="left" w:pos="1349"/>
        </w:tabs>
        <w:kinsoku w:val="0"/>
        <w:overflowPunct w:val="0"/>
        <w:autoSpaceDE w:val="0"/>
        <w:autoSpaceDN w:val="0"/>
        <w:adjustRightInd w:val="0"/>
        <w:spacing w:before="246" w:after="0" w:line="360" w:lineRule="auto"/>
        <w:ind w:left="1800" w:right="115"/>
        <w:jc w:val="both"/>
        <w:rPr>
          <w:rFonts w:ascii="Arial" w:hAnsi="Arial" w:cs="Arial"/>
        </w:rPr>
      </w:pPr>
      <w:r w:rsidRPr="00534173">
        <w:rPr>
          <w:rFonts w:ascii="Arial" w:hAnsi="Arial" w:cs="Arial"/>
        </w:rPr>
        <w:t>in the</w:t>
      </w:r>
      <w:r w:rsidR="00534173">
        <w:rPr>
          <w:rFonts w:ascii="Arial" w:hAnsi="Arial" w:cs="Arial"/>
        </w:rPr>
        <w:t xml:space="preserve"> investigation of the Commission</w:t>
      </w:r>
      <w:r w:rsidRPr="00534173">
        <w:rPr>
          <w:rFonts w:ascii="Arial" w:hAnsi="Arial" w:cs="Arial"/>
        </w:rPr>
        <w:t xml:space="preserve">. The application must be in writing and </w:t>
      </w:r>
      <w:r w:rsidR="00DA3C77" w:rsidRPr="00E63FDB">
        <w:rPr>
          <w:rFonts w:ascii="Arial" w:hAnsi="Arial" w:cs="Arial"/>
        </w:rPr>
        <w:t>clearly and succinctly indicate:</w:t>
      </w:r>
    </w:p>
    <w:p w:rsidR="00876A4C" w:rsidRDefault="00DA3C77" w:rsidP="00534173">
      <w:pPr>
        <w:pStyle w:val="ListParagraph"/>
        <w:widowControl w:val="0"/>
        <w:numPr>
          <w:ilvl w:val="3"/>
          <w:numId w:val="7"/>
        </w:numPr>
        <w:tabs>
          <w:tab w:val="left" w:pos="1349"/>
        </w:tabs>
        <w:kinsoku w:val="0"/>
        <w:overflowPunct w:val="0"/>
        <w:autoSpaceDE w:val="0"/>
        <w:autoSpaceDN w:val="0"/>
        <w:adjustRightInd w:val="0"/>
        <w:spacing w:before="246" w:after="0" w:line="360" w:lineRule="auto"/>
        <w:ind w:left="2948" w:right="115"/>
        <w:jc w:val="both"/>
        <w:rPr>
          <w:rFonts w:ascii="Arial" w:hAnsi="Arial" w:cs="Arial"/>
        </w:rPr>
      </w:pPr>
      <w:r>
        <w:rPr>
          <w:rFonts w:ascii="Arial" w:hAnsi="Arial" w:cs="Arial"/>
        </w:rPr>
        <w:t>The specific</w:t>
      </w:r>
      <w:r w:rsidRPr="00534173">
        <w:rPr>
          <w:rFonts w:ascii="Arial" w:hAnsi="Arial" w:cs="Arial"/>
        </w:rPr>
        <w:t xml:space="preserve"> portions</w:t>
      </w:r>
      <w:r w:rsidR="00876A4C" w:rsidRPr="00534173">
        <w:rPr>
          <w:rFonts w:ascii="Arial" w:hAnsi="Arial" w:cs="Arial"/>
        </w:rPr>
        <w:t xml:space="preserve"> of document </w:t>
      </w:r>
      <w:r>
        <w:rPr>
          <w:rFonts w:ascii="Arial" w:hAnsi="Arial" w:cs="Arial"/>
        </w:rPr>
        <w:t xml:space="preserve">which </w:t>
      </w:r>
      <w:r w:rsidR="00876A4C" w:rsidRPr="00534173">
        <w:rPr>
          <w:rFonts w:ascii="Arial" w:hAnsi="Arial" w:cs="Arial"/>
        </w:rPr>
        <w:t>are claimed to be confidential; and</w:t>
      </w:r>
    </w:p>
    <w:p w:rsidR="00876A4C" w:rsidRPr="00534173" w:rsidRDefault="00DA3C77" w:rsidP="00534173">
      <w:pPr>
        <w:pStyle w:val="ListParagraph"/>
        <w:widowControl w:val="0"/>
        <w:numPr>
          <w:ilvl w:val="3"/>
          <w:numId w:val="7"/>
        </w:numPr>
        <w:tabs>
          <w:tab w:val="left" w:pos="1349"/>
        </w:tabs>
        <w:kinsoku w:val="0"/>
        <w:overflowPunct w:val="0"/>
        <w:autoSpaceDE w:val="0"/>
        <w:autoSpaceDN w:val="0"/>
        <w:adjustRightInd w:val="0"/>
        <w:spacing w:before="246" w:after="0" w:line="360" w:lineRule="auto"/>
        <w:ind w:left="2948" w:right="115"/>
        <w:jc w:val="both"/>
        <w:rPr>
          <w:rFonts w:ascii="Arial" w:hAnsi="Arial" w:cs="Arial"/>
        </w:rPr>
      </w:pPr>
      <w:r>
        <w:rPr>
          <w:rFonts w:ascii="Arial" w:hAnsi="Arial" w:cs="Arial"/>
        </w:rPr>
        <w:t xml:space="preserve">The reasons </w:t>
      </w:r>
      <w:r w:rsidR="00876A4C" w:rsidRPr="00534173">
        <w:rPr>
          <w:rFonts w:ascii="Arial" w:hAnsi="Arial" w:cs="Arial"/>
        </w:rPr>
        <w:t>why those portions should not be publicly disclosed.</w:t>
      </w:r>
    </w:p>
    <w:p w:rsidR="009F08E5" w:rsidRDefault="009F08E5" w:rsidP="009F08E5">
      <w:pPr>
        <w:rPr>
          <w:lang w:val="en-GB" w:eastAsia="en-GB"/>
        </w:rPr>
      </w:pPr>
    </w:p>
    <w:p w:rsidR="00534173" w:rsidRPr="00534173" w:rsidRDefault="00534173" w:rsidP="00534173">
      <w:pPr>
        <w:pStyle w:val="ListParagraph"/>
        <w:numPr>
          <w:ilvl w:val="1"/>
          <w:numId w:val="7"/>
        </w:numPr>
        <w:spacing w:line="360" w:lineRule="auto"/>
        <w:jc w:val="both"/>
        <w:rPr>
          <w:rFonts w:ascii="Arial" w:hAnsi="Arial" w:cs="Arial"/>
          <w:lang w:eastAsia="en-GB"/>
        </w:rPr>
      </w:pPr>
      <w:r w:rsidRPr="00534173">
        <w:rPr>
          <w:rFonts w:ascii="Arial" w:hAnsi="Arial" w:cs="Arial"/>
        </w:rPr>
        <w:t>The Chairperson shall consider all claims of confidentiality for documents provided to the Investigative Hearing and shall rule on whether the document will be treated as confidential.</w:t>
      </w:r>
    </w:p>
    <w:p w:rsidR="00534173" w:rsidRDefault="00534173" w:rsidP="00534173">
      <w:pPr>
        <w:pStyle w:val="ListParagraph"/>
        <w:spacing w:line="360" w:lineRule="auto"/>
        <w:ind w:left="1440"/>
        <w:jc w:val="both"/>
        <w:rPr>
          <w:rFonts w:ascii="Arial" w:hAnsi="Arial" w:cs="Arial"/>
          <w:lang w:eastAsia="en-GB"/>
        </w:rPr>
      </w:pPr>
    </w:p>
    <w:p w:rsidR="00534173" w:rsidRDefault="00534173" w:rsidP="00534173">
      <w:pPr>
        <w:pStyle w:val="ListParagraph"/>
        <w:numPr>
          <w:ilvl w:val="1"/>
          <w:numId w:val="7"/>
        </w:numPr>
        <w:spacing w:line="360" w:lineRule="auto"/>
        <w:jc w:val="both"/>
        <w:rPr>
          <w:rFonts w:ascii="Arial" w:hAnsi="Arial" w:cs="Arial"/>
          <w:lang w:eastAsia="en-GB"/>
        </w:rPr>
      </w:pPr>
      <w:r w:rsidRPr="00534173">
        <w:rPr>
          <w:rFonts w:ascii="Arial" w:hAnsi="Arial" w:cs="Arial"/>
        </w:rPr>
        <w:t>If the document (or part of it) is determined to be confidential, it will not be included (or included only in redacted form to protect the confidentiality) in any of the Hearing’s publications nor referred to, in relevant part, in public hearings.</w:t>
      </w:r>
    </w:p>
    <w:p w:rsidR="00534173" w:rsidRPr="00534173" w:rsidRDefault="00534173" w:rsidP="00534173">
      <w:pPr>
        <w:pStyle w:val="ListParagraph"/>
        <w:rPr>
          <w:rFonts w:ascii="Arial" w:hAnsi="Arial" w:cs="Arial"/>
          <w:lang w:eastAsia="en-GB"/>
        </w:rPr>
      </w:pPr>
    </w:p>
    <w:p w:rsidR="00534173" w:rsidRDefault="00534173" w:rsidP="00534173">
      <w:pPr>
        <w:pStyle w:val="ListParagraph"/>
        <w:numPr>
          <w:ilvl w:val="1"/>
          <w:numId w:val="7"/>
        </w:numPr>
        <w:spacing w:line="360" w:lineRule="auto"/>
        <w:jc w:val="both"/>
        <w:rPr>
          <w:rFonts w:ascii="Arial" w:hAnsi="Arial" w:cs="Arial"/>
          <w:lang w:eastAsia="en-GB"/>
        </w:rPr>
      </w:pPr>
      <w:r w:rsidRPr="00534173">
        <w:rPr>
          <w:rFonts w:ascii="Arial" w:hAnsi="Arial" w:cs="Arial"/>
        </w:rPr>
        <w:t xml:space="preserve">If the document is determined not to be confidential, it may be referred to in the </w:t>
      </w:r>
      <w:r>
        <w:rPr>
          <w:rFonts w:ascii="Arial" w:hAnsi="Arial" w:cs="Arial"/>
        </w:rPr>
        <w:t>Hearing</w:t>
      </w:r>
      <w:r w:rsidRPr="00534173">
        <w:rPr>
          <w:rFonts w:ascii="Arial" w:hAnsi="Arial" w:cs="Arial"/>
        </w:rPr>
        <w:t>’s publications and at public hearings.</w:t>
      </w:r>
    </w:p>
    <w:p w:rsidR="00534173" w:rsidRPr="00534173" w:rsidRDefault="00534173" w:rsidP="00534173">
      <w:pPr>
        <w:pStyle w:val="ListParagraph"/>
        <w:rPr>
          <w:rFonts w:ascii="Arial" w:hAnsi="Arial" w:cs="Arial"/>
          <w:lang w:eastAsia="en-GB"/>
        </w:rPr>
      </w:pPr>
    </w:p>
    <w:p w:rsidR="00534173" w:rsidRDefault="00534173" w:rsidP="00534173">
      <w:pPr>
        <w:pStyle w:val="ListParagraph"/>
        <w:numPr>
          <w:ilvl w:val="1"/>
          <w:numId w:val="7"/>
        </w:numPr>
        <w:spacing w:line="360" w:lineRule="auto"/>
        <w:jc w:val="both"/>
        <w:rPr>
          <w:rFonts w:ascii="Arial" w:hAnsi="Arial" w:cs="Arial"/>
          <w:lang w:eastAsia="en-GB"/>
        </w:rPr>
      </w:pPr>
      <w:r>
        <w:rPr>
          <w:rFonts w:ascii="Arial" w:hAnsi="Arial" w:cs="Arial"/>
        </w:rPr>
        <w:t>The Hearing</w:t>
      </w:r>
      <w:r w:rsidRPr="00534173">
        <w:rPr>
          <w:rFonts w:ascii="Arial" w:hAnsi="Arial" w:cs="Arial"/>
        </w:rPr>
        <w:t xml:space="preserve"> shall notify the person who made a claim of confidentiality for a document of the Chairperson’s determination prior to the document being referred to in a publication or at a public hearing.</w:t>
      </w:r>
    </w:p>
    <w:p w:rsidR="00534173" w:rsidRPr="00534173" w:rsidRDefault="00534173" w:rsidP="00534173">
      <w:pPr>
        <w:pStyle w:val="ListParagraph"/>
        <w:rPr>
          <w:rFonts w:ascii="Arial" w:hAnsi="Arial" w:cs="Arial"/>
          <w:lang w:eastAsia="en-GB"/>
        </w:rPr>
      </w:pPr>
    </w:p>
    <w:p w:rsidR="00534173" w:rsidRDefault="00534173" w:rsidP="00534173">
      <w:pPr>
        <w:pStyle w:val="ListParagraph"/>
        <w:spacing w:line="360" w:lineRule="auto"/>
        <w:ind w:left="1440"/>
        <w:jc w:val="both"/>
        <w:rPr>
          <w:rFonts w:ascii="Arial" w:hAnsi="Arial" w:cs="Arial"/>
          <w:lang w:eastAsia="en-GB"/>
        </w:rPr>
      </w:pPr>
    </w:p>
    <w:p w:rsidR="00534173" w:rsidRPr="00534173" w:rsidRDefault="00534173" w:rsidP="00534173">
      <w:pPr>
        <w:pStyle w:val="ListParagraph"/>
        <w:numPr>
          <w:ilvl w:val="0"/>
          <w:numId w:val="7"/>
        </w:numPr>
        <w:spacing w:line="360" w:lineRule="auto"/>
        <w:jc w:val="both"/>
        <w:rPr>
          <w:rFonts w:ascii="Arial" w:hAnsi="Arial" w:cs="Arial"/>
          <w:b/>
          <w:lang w:eastAsia="en-GB"/>
        </w:rPr>
      </w:pPr>
      <w:r w:rsidRPr="00534173">
        <w:rPr>
          <w:rFonts w:ascii="Arial" w:hAnsi="Arial" w:cs="Arial"/>
          <w:b/>
          <w:lang w:eastAsia="en-GB"/>
        </w:rPr>
        <w:t xml:space="preserve">General </w:t>
      </w:r>
    </w:p>
    <w:p w:rsidR="00534173" w:rsidRDefault="00534173" w:rsidP="00534173">
      <w:pPr>
        <w:pStyle w:val="ListParagraph"/>
        <w:spacing w:line="360" w:lineRule="auto"/>
        <w:jc w:val="both"/>
        <w:rPr>
          <w:rFonts w:ascii="Arial" w:hAnsi="Arial" w:cs="Arial"/>
          <w:lang w:eastAsia="en-GB"/>
        </w:rPr>
      </w:pPr>
    </w:p>
    <w:p w:rsidR="00534173" w:rsidRDefault="00534173" w:rsidP="00534173">
      <w:pPr>
        <w:pStyle w:val="ListParagraph"/>
        <w:numPr>
          <w:ilvl w:val="1"/>
          <w:numId w:val="7"/>
        </w:numPr>
        <w:spacing w:line="360" w:lineRule="auto"/>
        <w:jc w:val="both"/>
        <w:rPr>
          <w:rFonts w:ascii="Arial" w:hAnsi="Arial" w:cs="Arial"/>
          <w:lang w:eastAsia="en-GB"/>
        </w:rPr>
      </w:pPr>
      <w:r w:rsidRPr="00534173">
        <w:rPr>
          <w:rFonts w:ascii="Arial" w:hAnsi="Arial" w:cs="Arial"/>
        </w:rPr>
        <w:t>Any party wishing to make a</w:t>
      </w:r>
      <w:r>
        <w:rPr>
          <w:rFonts w:ascii="Arial" w:hAnsi="Arial" w:cs="Arial"/>
        </w:rPr>
        <w:t>ny application to the Hearing</w:t>
      </w:r>
      <w:r w:rsidRPr="00534173">
        <w:rPr>
          <w:rFonts w:ascii="Arial" w:hAnsi="Arial" w:cs="Arial"/>
        </w:rPr>
        <w:t xml:space="preserve"> which is not otherwise provided for in these rules must do so on at least seven calendar days’ notice </w:t>
      </w:r>
      <w:r w:rsidR="00957635">
        <w:rPr>
          <w:rFonts w:ascii="Arial" w:hAnsi="Arial" w:cs="Arial"/>
        </w:rPr>
        <w:t>in writing to the Hearing</w:t>
      </w:r>
      <w:r w:rsidRPr="00534173">
        <w:rPr>
          <w:rFonts w:ascii="Arial" w:hAnsi="Arial" w:cs="Arial"/>
        </w:rPr>
        <w:t xml:space="preserve"> but the Chairperson may condone non-compliance with this notice period on good cause shown.</w:t>
      </w:r>
    </w:p>
    <w:p w:rsidR="00534173" w:rsidRDefault="00534173" w:rsidP="00534173">
      <w:pPr>
        <w:pStyle w:val="ListParagraph"/>
        <w:spacing w:line="360" w:lineRule="auto"/>
        <w:ind w:left="1440"/>
        <w:jc w:val="both"/>
        <w:rPr>
          <w:rFonts w:ascii="Arial" w:hAnsi="Arial" w:cs="Arial"/>
          <w:lang w:eastAsia="en-GB"/>
        </w:rPr>
      </w:pPr>
    </w:p>
    <w:p w:rsidR="00957635" w:rsidRDefault="00957635" w:rsidP="00957635">
      <w:pPr>
        <w:pStyle w:val="ListParagraph"/>
        <w:numPr>
          <w:ilvl w:val="1"/>
          <w:numId w:val="7"/>
        </w:numPr>
        <w:spacing w:line="360" w:lineRule="auto"/>
        <w:jc w:val="both"/>
        <w:rPr>
          <w:rFonts w:ascii="Arial" w:hAnsi="Arial" w:cs="Arial"/>
          <w:lang w:eastAsia="en-GB"/>
        </w:rPr>
      </w:pPr>
      <w:r w:rsidRPr="00957635">
        <w:rPr>
          <w:rFonts w:ascii="Arial" w:hAnsi="Arial" w:cs="Arial"/>
        </w:rPr>
        <w:t>The Investigative Hearing may condone non-compliance with, or extend, any time-frame provided for in these Rules on good cause shown or when it is in the interests of the work of the Hearing to do so.</w:t>
      </w:r>
    </w:p>
    <w:p w:rsidR="00957635" w:rsidRPr="00957635" w:rsidRDefault="00957635" w:rsidP="00957635">
      <w:pPr>
        <w:pStyle w:val="ListParagraph"/>
        <w:rPr>
          <w:rFonts w:ascii="Arial" w:hAnsi="Arial" w:cs="Arial"/>
          <w:lang w:eastAsia="en-GB"/>
        </w:rPr>
      </w:pPr>
    </w:p>
    <w:p w:rsidR="00957635" w:rsidRPr="00957635" w:rsidRDefault="00957635" w:rsidP="00957635">
      <w:pPr>
        <w:pStyle w:val="ListParagraph"/>
        <w:numPr>
          <w:ilvl w:val="0"/>
          <w:numId w:val="7"/>
        </w:numPr>
        <w:spacing w:line="360" w:lineRule="auto"/>
        <w:jc w:val="both"/>
        <w:rPr>
          <w:rFonts w:ascii="Arial" w:hAnsi="Arial" w:cs="Arial"/>
          <w:b/>
          <w:lang w:eastAsia="en-GB"/>
        </w:rPr>
      </w:pPr>
      <w:r w:rsidRPr="00957635">
        <w:rPr>
          <w:rFonts w:ascii="Arial" w:hAnsi="Arial" w:cs="Arial"/>
          <w:b/>
          <w:lang w:eastAsia="en-GB"/>
        </w:rPr>
        <w:t>Directions</w:t>
      </w:r>
    </w:p>
    <w:p w:rsidR="00957635" w:rsidRDefault="00957635" w:rsidP="00957635">
      <w:pPr>
        <w:pStyle w:val="ListParagraph"/>
        <w:spacing w:line="360" w:lineRule="auto"/>
        <w:jc w:val="both"/>
        <w:rPr>
          <w:rFonts w:ascii="Arial" w:hAnsi="Arial" w:cs="Arial"/>
          <w:lang w:eastAsia="en-GB"/>
        </w:rPr>
      </w:pPr>
    </w:p>
    <w:p w:rsidR="00957635" w:rsidRDefault="00957635" w:rsidP="00957635">
      <w:pPr>
        <w:pStyle w:val="ListParagraph"/>
        <w:numPr>
          <w:ilvl w:val="1"/>
          <w:numId w:val="7"/>
        </w:numPr>
        <w:spacing w:line="360" w:lineRule="auto"/>
        <w:jc w:val="both"/>
        <w:rPr>
          <w:rFonts w:ascii="Arial" w:hAnsi="Arial" w:cs="Arial"/>
          <w:lang w:eastAsia="en-GB"/>
        </w:rPr>
      </w:pPr>
      <w:r w:rsidRPr="00957635">
        <w:rPr>
          <w:rFonts w:ascii="Arial" w:hAnsi="Arial" w:cs="Arial"/>
        </w:rPr>
        <w:t xml:space="preserve">The Chairperson may issue practice directions from time to time in regard to the </w:t>
      </w:r>
      <w:r>
        <w:rPr>
          <w:rFonts w:ascii="Arial" w:hAnsi="Arial" w:cs="Arial"/>
        </w:rPr>
        <w:t>proceedings of the Hearing</w:t>
      </w:r>
      <w:r w:rsidRPr="00957635">
        <w:rPr>
          <w:rFonts w:ascii="Arial" w:hAnsi="Arial" w:cs="Arial"/>
        </w:rPr>
        <w:t>.</w:t>
      </w:r>
    </w:p>
    <w:p w:rsidR="00957635" w:rsidRDefault="00957635" w:rsidP="00957635">
      <w:pPr>
        <w:pStyle w:val="ListParagraph"/>
        <w:spacing w:line="360" w:lineRule="auto"/>
        <w:ind w:left="1440"/>
        <w:jc w:val="both"/>
        <w:rPr>
          <w:rFonts w:ascii="Arial" w:hAnsi="Arial" w:cs="Arial"/>
          <w:lang w:eastAsia="en-GB"/>
        </w:rPr>
      </w:pPr>
    </w:p>
    <w:p w:rsidR="00957635" w:rsidRDefault="00957635" w:rsidP="00957635">
      <w:pPr>
        <w:pStyle w:val="ListParagraph"/>
        <w:spacing w:line="360" w:lineRule="auto"/>
        <w:ind w:left="1440"/>
        <w:jc w:val="both"/>
        <w:rPr>
          <w:rFonts w:ascii="Arial" w:hAnsi="Arial" w:cs="Arial"/>
          <w:lang w:eastAsia="en-GB"/>
        </w:rPr>
      </w:pPr>
    </w:p>
    <w:p w:rsidR="00957635" w:rsidRDefault="00957635" w:rsidP="00957635">
      <w:pPr>
        <w:pStyle w:val="ListParagraph"/>
        <w:spacing w:line="360" w:lineRule="auto"/>
        <w:ind w:left="1440"/>
        <w:jc w:val="both"/>
        <w:rPr>
          <w:rFonts w:ascii="Arial" w:hAnsi="Arial" w:cs="Arial"/>
          <w:lang w:eastAsia="en-GB"/>
        </w:rPr>
      </w:pPr>
    </w:p>
    <w:p w:rsidR="00957635" w:rsidRPr="00957635" w:rsidRDefault="00957635" w:rsidP="00957635">
      <w:pPr>
        <w:pStyle w:val="ListParagraph"/>
        <w:numPr>
          <w:ilvl w:val="0"/>
          <w:numId w:val="7"/>
        </w:numPr>
        <w:spacing w:line="360" w:lineRule="auto"/>
        <w:jc w:val="both"/>
        <w:rPr>
          <w:rFonts w:ascii="Arial" w:hAnsi="Arial" w:cs="Arial"/>
          <w:b/>
          <w:lang w:eastAsia="en-GB"/>
        </w:rPr>
      </w:pPr>
      <w:r w:rsidRPr="00957635">
        <w:rPr>
          <w:rFonts w:ascii="Arial" w:hAnsi="Arial" w:cs="Arial"/>
          <w:b/>
          <w:lang w:eastAsia="en-GB"/>
        </w:rPr>
        <w:t>Amendment of Rules</w:t>
      </w:r>
    </w:p>
    <w:p w:rsidR="00957635" w:rsidRDefault="00957635" w:rsidP="00957635">
      <w:pPr>
        <w:pStyle w:val="ListParagraph"/>
        <w:spacing w:line="360" w:lineRule="auto"/>
        <w:jc w:val="both"/>
        <w:rPr>
          <w:rFonts w:ascii="Arial" w:hAnsi="Arial" w:cs="Arial"/>
          <w:lang w:eastAsia="en-GB"/>
        </w:rPr>
      </w:pPr>
    </w:p>
    <w:p w:rsidR="00957635" w:rsidRDefault="00957635" w:rsidP="00957635">
      <w:pPr>
        <w:pStyle w:val="ListParagraph"/>
        <w:numPr>
          <w:ilvl w:val="1"/>
          <w:numId w:val="7"/>
        </w:numPr>
        <w:spacing w:line="360" w:lineRule="auto"/>
        <w:jc w:val="both"/>
        <w:rPr>
          <w:rFonts w:ascii="Arial" w:hAnsi="Arial" w:cs="Arial"/>
          <w:lang w:eastAsia="en-GB"/>
        </w:rPr>
      </w:pPr>
      <w:r>
        <w:rPr>
          <w:rFonts w:ascii="Arial" w:hAnsi="Arial" w:cs="Arial"/>
          <w:lang w:eastAsia="en-GB"/>
        </w:rPr>
        <w:t>The Chairperson, in consultation with the Hearing Panel, may amend these Rules from time to time.</w:t>
      </w:r>
    </w:p>
    <w:p w:rsidR="00957635" w:rsidRDefault="00957635" w:rsidP="00957635">
      <w:pPr>
        <w:pStyle w:val="ListParagraph"/>
        <w:spacing w:line="360" w:lineRule="auto"/>
        <w:ind w:left="1440"/>
        <w:jc w:val="both"/>
        <w:rPr>
          <w:rFonts w:ascii="Arial" w:hAnsi="Arial" w:cs="Arial"/>
          <w:lang w:eastAsia="en-GB"/>
        </w:rPr>
      </w:pPr>
    </w:p>
    <w:p w:rsidR="00957635" w:rsidRPr="00957635" w:rsidRDefault="00957635" w:rsidP="00957635">
      <w:pPr>
        <w:pStyle w:val="ListParagraph"/>
        <w:numPr>
          <w:ilvl w:val="0"/>
          <w:numId w:val="7"/>
        </w:numPr>
        <w:spacing w:line="360" w:lineRule="auto"/>
        <w:jc w:val="both"/>
        <w:rPr>
          <w:rFonts w:ascii="Arial" w:hAnsi="Arial" w:cs="Arial"/>
          <w:b/>
          <w:lang w:eastAsia="en-GB"/>
        </w:rPr>
      </w:pPr>
      <w:r w:rsidRPr="00957635">
        <w:rPr>
          <w:rFonts w:ascii="Arial" w:hAnsi="Arial" w:cs="Arial"/>
          <w:b/>
          <w:lang w:eastAsia="en-GB"/>
        </w:rPr>
        <w:t>Citation of Rules</w:t>
      </w:r>
    </w:p>
    <w:p w:rsidR="00957635" w:rsidRDefault="00957635" w:rsidP="00957635">
      <w:pPr>
        <w:pStyle w:val="ListParagraph"/>
        <w:spacing w:line="360" w:lineRule="auto"/>
        <w:jc w:val="both"/>
        <w:rPr>
          <w:rFonts w:ascii="Arial" w:hAnsi="Arial" w:cs="Arial"/>
          <w:lang w:eastAsia="en-GB"/>
        </w:rPr>
      </w:pPr>
    </w:p>
    <w:p w:rsidR="00957635" w:rsidRDefault="00957635" w:rsidP="00957635">
      <w:pPr>
        <w:pStyle w:val="ListParagraph"/>
        <w:numPr>
          <w:ilvl w:val="1"/>
          <w:numId w:val="7"/>
        </w:numPr>
        <w:spacing w:line="360" w:lineRule="auto"/>
        <w:jc w:val="both"/>
        <w:rPr>
          <w:rFonts w:ascii="Arial" w:hAnsi="Arial" w:cs="Arial"/>
          <w:lang w:eastAsia="en-GB"/>
        </w:rPr>
      </w:pPr>
      <w:r>
        <w:rPr>
          <w:rFonts w:ascii="Arial" w:hAnsi="Arial" w:cs="Arial"/>
          <w:lang w:eastAsia="en-GB"/>
        </w:rPr>
        <w:t>These Rules shall be called the Rules of the South African Human Rights Commission National Hearing into the July Unrest in Especially Gauteng and KwaZulu-Natal Provinces.</w:t>
      </w:r>
    </w:p>
    <w:p w:rsidR="00957635" w:rsidRDefault="00957635" w:rsidP="00957635">
      <w:pPr>
        <w:rPr>
          <w:lang w:val="en-GB" w:eastAsia="en-GB"/>
        </w:rPr>
      </w:pPr>
    </w:p>
    <w:p w:rsidR="00957635" w:rsidRDefault="00957635" w:rsidP="00957635">
      <w:pPr>
        <w:ind w:firstLine="720"/>
        <w:rPr>
          <w:rFonts w:ascii="Arial" w:hAnsi="Arial" w:cs="Arial"/>
          <w:lang w:val="en-GB" w:eastAsia="en-GB"/>
        </w:rPr>
      </w:pPr>
      <w:r w:rsidRPr="00957635">
        <w:rPr>
          <w:rFonts w:ascii="Arial" w:hAnsi="Arial" w:cs="Arial"/>
          <w:lang w:val="en-GB" w:eastAsia="en-GB"/>
        </w:rPr>
        <w:t>Issued on_______________ October 2021</w:t>
      </w:r>
    </w:p>
    <w:p w:rsidR="00957635" w:rsidRDefault="00957635" w:rsidP="00957635">
      <w:pPr>
        <w:ind w:firstLine="720"/>
        <w:rPr>
          <w:rFonts w:ascii="Arial" w:hAnsi="Arial" w:cs="Arial"/>
          <w:lang w:val="en-GB" w:eastAsia="en-GB"/>
        </w:rPr>
      </w:pPr>
    </w:p>
    <w:p w:rsidR="00957635" w:rsidRDefault="00957635" w:rsidP="00957635">
      <w:pPr>
        <w:ind w:firstLine="720"/>
        <w:rPr>
          <w:rFonts w:ascii="Arial" w:hAnsi="Arial" w:cs="Arial"/>
          <w:lang w:val="en-GB" w:eastAsia="en-GB"/>
        </w:rPr>
      </w:pPr>
      <w:r>
        <w:rPr>
          <w:rFonts w:ascii="Arial" w:hAnsi="Arial" w:cs="Arial"/>
          <w:lang w:val="en-GB" w:eastAsia="en-GB"/>
        </w:rPr>
        <w:t>______________________</w:t>
      </w:r>
    </w:p>
    <w:p w:rsidR="00957635" w:rsidRDefault="00957635" w:rsidP="00957635">
      <w:pPr>
        <w:ind w:firstLine="720"/>
        <w:rPr>
          <w:rFonts w:ascii="Arial" w:hAnsi="Arial" w:cs="Arial"/>
          <w:lang w:val="en-GB" w:eastAsia="en-GB"/>
        </w:rPr>
      </w:pPr>
      <w:r>
        <w:rPr>
          <w:rFonts w:ascii="Arial" w:hAnsi="Arial" w:cs="Arial"/>
          <w:lang w:val="en-GB" w:eastAsia="en-GB"/>
        </w:rPr>
        <w:t>Adv. Andre Gaum</w:t>
      </w:r>
    </w:p>
    <w:p w:rsidR="00957635" w:rsidRDefault="00957635" w:rsidP="00957635">
      <w:pPr>
        <w:ind w:firstLine="720"/>
        <w:rPr>
          <w:rFonts w:ascii="Arial" w:hAnsi="Arial" w:cs="Arial"/>
          <w:lang w:val="en-GB" w:eastAsia="en-GB"/>
        </w:rPr>
      </w:pPr>
      <w:r>
        <w:rPr>
          <w:rFonts w:ascii="Arial" w:hAnsi="Arial" w:cs="Arial"/>
          <w:lang w:val="en-GB" w:eastAsia="en-GB"/>
        </w:rPr>
        <w:t>Commissioner</w:t>
      </w:r>
      <w:r w:rsidR="009B35EE">
        <w:rPr>
          <w:rFonts w:ascii="Arial" w:hAnsi="Arial" w:cs="Arial"/>
          <w:lang w:val="en-GB" w:eastAsia="en-GB"/>
        </w:rPr>
        <w:t xml:space="preserve"> at the South African Human Rights Commission</w:t>
      </w:r>
    </w:p>
    <w:p w:rsidR="00957635" w:rsidRDefault="00957635" w:rsidP="00957635">
      <w:pPr>
        <w:ind w:firstLine="720"/>
        <w:rPr>
          <w:rFonts w:ascii="Arial" w:hAnsi="Arial" w:cs="Arial"/>
          <w:lang w:val="en-GB" w:eastAsia="en-GB"/>
        </w:rPr>
      </w:pPr>
    </w:p>
    <w:p w:rsidR="00957635" w:rsidRDefault="00957635" w:rsidP="00957635">
      <w:pPr>
        <w:ind w:firstLine="720"/>
        <w:rPr>
          <w:rFonts w:ascii="Arial" w:hAnsi="Arial" w:cs="Arial"/>
          <w:lang w:val="en-GB" w:eastAsia="en-GB"/>
        </w:rPr>
      </w:pPr>
      <w:r>
        <w:rPr>
          <w:rFonts w:ascii="Arial" w:hAnsi="Arial" w:cs="Arial"/>
          <w:lang w:val="en-GB" w:eastAsia="en-GB"/>
        </w:rPr>
        <w:t xml:space="preserve">And </w:t>
      </w:r>
    </w:p>
    <w:p w:rsidR="00957635" w:rsidRDefault="00957635" w:rsidP="00957635">
      <w:pPr>
        <w:ind w:firstLine="720"/>
        <w:rPr>
          <w:rFonts w:ascii="Arial" w:hAnsi="Arial" w:cs="Arial"/>
          <w:lang w:val="en-GB" w:eastAsia="en-GB"/>
        </w:rPr>
      </w:pPr>
    </w:p>
    <w:p w:rsidR="00957635" w:rsidRPr="00957635" w:rsidRDefault="00957635" w:rsidP="00957635">
      <w:pPr>
        <w:ind w:firstLine="720"/>
        <w:rPr>
          <w:rFonts w:ascii="Arial" w:hAnsi="Arial" w:cs="Arial"/>
          <w:lang w:val="en-GB" w:eastAsia="en-GB"/>
        </w:rPr>
      </w:pPr>
      <w:r>
        <w:rPr>
          <w:rFonts w:ascii="Arial" w:hAnsi="Arial" w:cs="Arial"/>
          <w:lang w:val="en-GB" w:eastAsia="en-GB"/>
        </w:rPr>
        <w:t>Chairperson of the Hearing Panel</w:t>
      </w:r>
    </w:p>
    <w:sectPr w:rsidR="00957635" w:rsidRPr="00957635">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D8F2" w16cex:dateUtc="2021-10-12T07:50:00Z"/>
  <w16cex:commentExtensible w16cex:durableId="250FD922" w16cex:dateUtc="2021-10-12T07:51:00Z"/>
  <w16cex:commentExtensible w16cex:durableId="250FD9C3" w16cex:dateUtc="2021-10-12T07:54:00Z"/>
  <w16cex:commentExtensible w16cex:durableId="250FDC01" w16cex:dateUtc="2021-10-12T08:03:00Z"/>
  <w16cex:commentExtensible w16cex:durableId="250FDC94" w16cex:dateUtc="2021-10-12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A1374" w16cid:durableId="250FD8F2"/>
  <w16cid:commentId w16cid:paraId="3D32D492" w16cid:durableId="250FD922"/>
  <w16cid:commentId w16cid:paraId="076FC92E" w16cid:durableId="250FD9C3"/>
  <w16cid:commentId w16cid:paraId="3E3EE5D3" w16cid:durableId="250FDC01"/>
  <w16cid:commentId w16cid:paraId="3CD7E4C3" w16cid:durableId="250FDC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96" w:rsidRDefault="00940B96" w:rsidP="000B42D7">
      <w:pPr>
        <w:spacing w:after="0" w:line="240" w:lineRule="auto"/>
      </w:pPr>
      <w:r>
        <w:separator/>
      </w:r>
    </w:p>
  </w:endnote>
  <w:endnote w:type="continuationSeparator" w:id="0">
    <w:p w:rsidR="00940B96" w:rsidRDefault="00940B96" w:rsidP="000B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039719"/>
      <w:docPartObj>
        <w:docPartGallery w:val="Page Numbers (Bottom of Page)"/>
        <w:docPartUnique/>
      </w:docPartObj>
    </w:sdtPr>
    <w:sdtEndPr>
      <w:rPr>
        <w:noProof/>
      </w:rPr>
    </w:sdtEndPr>
    <w:sdtContent>
      <w:p w:rsidR="00957635" w:rsidRDefault="00957635">
        <w:pPr>
          <w:pStyle w:val="Footer"/>
          <w:jc w:val="right"/>
        </w:pPr>
        <w:r>
          <w:fldChar w:fldCharType="begin"/>
        </w:r>
        <w:r>
          <w:instrText xml:space="preserve"> PAGE   \* MERGEFORMAT </w:instrText>
        </w:r>
        <w:r>
          <w:fldChar w:fldCharType="separate"/>
        </w:r>
        <w:r w:rsidR="00784142">
          <w:rPr>
            <w:noProof/>
          </w:rPr>
          <w:t>2</w:t>
        </w:r>
        <w:r>
          <w:rPr>
            <w:noProof/>
          </w:rPr>
          <w:fldChar w:fldCharType="end"/>
        </w:r>
      </w:p>
    </w:sdtContent>
  </w:sdt>
  <w:p w:rsidR="00957635" w:rsidRDefault="00957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96" w:rsidRDefault="00940B96" w:rsidP="000B42D7">
      <w:pPr>
        <w:spacing w:after="0" w:line="240" w:lineRule="auto"/>
      </w:pPr>
      <w:r>
        <w:separator/>
      </w:r>
    </w:p>
  </w:footnote>
  <w:footnote w:type="continuationSeparator" w:id="0">
    <w:p w:rsidR="00940B96" w:rsidRDefault="00940B96" w:rsidP="000B42D7">
      <w:pPr>
        <w:spacing w:after="0" w:line="240" w:lineRule="auto"/>
      </w:pPr>
      <w:r>
        <w:continuationSeparator/>
      </w:r>
    </w:p>
  </w:footnote>
  <w:footnote w:id="1">
    <w:p w:rsidR="00957635" w:rsidRPr="00F17C1A" w:rsidRDefault="00957635" w:rsidP="00F17C1A">
      <w:pPr>
        <w:pStyle w:val="BodyText"/>
        <w:tabs>
          <w:tab w:val="left" w:pos="666"/>
        </w:tabs>
        <w:kinsoku w:val="0"/>
        <w:overflowPunct w:val="0"/>
        <w:spacing w:before="93"/>
        <w:ind w:left="100"/>
        <w:jc w:val="both"/>
        <w:rPr>
          <w:rFonts w:eastAsiaTheme="minorEastAsia"/>
          <w:sz w:val="20"/>
          <w:szCs w:val="20"/>
          <w:lang w:val="en-GB" w:eastAsia="en-GB"/>
        </w:rPr>
      </w:pPr>
      <w:r w:rsidRPr="000B42D7">
        <w:rPr>
          <w:rStyle w:val="FootnoteReference"/>
          <w:sz w:val="20"/>
          <w:szCs w:val="20"/>
        </w:rPr>
        <w:footnoteRef/>
      </w:r>
      <w:r w:rsidRPr="000B42D7">
        <w:rPr>
          <w:sz w:val="20"/>
          <w:szCs w:val="20"/>
        </w:rPr>
        <w:t xml:space="preserve"> </w:t>
      </w:r>
      <w:r w:rsidR="00630593">
        <w:rPr>
          <w:sz w:val="20"/>
          <w:szCs w:val="20"/>
        </w:rPr>
        <w:t xml:space="preserve">The </w:t>
      </w:r>
      <w:r w:rsidRPr="000B42D7">
        <w:rPr>
          <w:rFonts w:eastAsiaTheme="minorEastAsia"/>
          <w:sz w:val="20"/>
          <w:szCs w:val="20"/>
          <w:lang w:val="en-GB" w:eastAsia="en-GB"/>
        </w:rPr>
        <w:t>Complaints</w:t>
      </w:r>
      <w:r w:rsidRPr="000B42D7">
        <w:rPr>
          <w:rFonts w:eastAsiaTheme="minorEastAsia"/>
          <w:spacing w:val="-4"/>
          <w:sz w:val="20"/>
          <w:szCs w:val="20"/>
          <w:lang w:val="en-GB" w:eastAsia="en-GB"/>
        </w:rPr>
        <w:t xml:space="preserve"> </w:t>
      </w:r>
      <w:r w:rsidRPr="000B42D7">
        <w:rPr>
          <w:rFonts w:eastAsiaTheme="minorEastAsia"/>
          <w:sz w:val="20"/>
          <w:szCs w:val="20"/>
          <w:lang w:val="en-GB" w:eastAsia="en-GB"/>
        </w:rPr>
        <w:t>Handling</w:t>
      </w:r>
      <w:r w:rsidRPr="000B42D7">
        <w:rPr>
          <w:rFonts w:eastAsiaTheme="minorEastAsia"/>
          <w:spacing w:val="-3"/>
          <w:sz w:val="20"/>
          <w:szCs w:val="20"/>
          <w:lang w:val="en-GB" w:eastAsia="en-GB"/>
        </w:rPr>
        <w:t xml:space="preserve"> </w:t>
      </w:r>
      <w:r w:rsidRPr="000B42D7">
        <w:rPr>
          <w:rFonts w:eastAsiaTheme="minorEastAsia"/>
          <w:sz w:val="20"/>
          <w:szCs w:val="20"/>
          <w:lang w:val="en-GB" w:eastAsia="en-GB"/>
        </w:rPr>
        <w:t>Procedure</w:t>
      </w:r>
      <w:r w:rsidRPr="000B42D7">
        <w:rPr>
          <w:rFonts w:eastAsiaTheme="minorEastAsia"/>
          <w:spacing w:val="-7"/>
          <w:sz w:val="20"/>
          <w:szCs w:val="20"/>
          <w:lang w:val="en-GB" w:eastAsia="en-GB"/>
        </w:rPr>
        <w:t xml:space="preserve"> </w:t>
      </w:r>
      <w:r w:rsidRPr="000B42D7">
        <w:rPr>
          <w:rFonts w:eastAsiaTheme="minorEastAsia"/>
          <w:sz w:val="20"/>
          <w:szCs w:val="20"/>
          <w:lang w:val="en-GB" w:eastAsia="en-GB"/>
        </w:rPr>
        <w:t>replaced</w:t>
      </w:r>
      <w:r w:rsidRPr="000B42D7">
        <w:rPr>
          <w:rFonts w:eastAsiaTheme="minorEastAsia"/>
          <w:spacing w:val="-5"/>
          <w:sz w:val="20"/>
          <w:szCs w:val="20"/>
          <w:lang w:val="en-GB" w:eastAsia="en-GB"/>
        </w:rPr>
        <w:t xml:space="preserve"> </w:t>
      </w:r>
      <w:r w:rsidRPr="000B42D7">
        <w:rPr>
          <w:rFonts w:eastAsiaTheme="minorEastAsia"/>
          <w:sz w:val="20"/>
          <w:szCs w:val="20"/>
          <w:lang w:val="en-GB" w:eastAsia="en-GB"/>
        </w:rPr>
        <w:t>the</w:t>
      </w:r>
      <w:r w:rsidRPr="000B42D7">
        <w:rPr>
          <w:rFonts w:eastAsiaTheme="minorEastAsia"/>
          <w:spacing w:val="-3"/>
          <w:sz w:val="20"/>
          <w:szCs w:val="20"/>
          <w:lang w:val="en-GB" w:eastAsia="en-GB"/>
        </w:rPr>
        <w:t xml:space="preserve"> </w:t>
      </w:r>
      <w:r w:rsidRPr="000B42D7">
        <w:rPr>
          <w:rFonts w:eastAsiaTheme="minorEastAsia"/>
          <w:sz w:val="20"/>
          <w:szCs w:val="20"/>
          <w:lang w:val="en-GB" w:eastAsia="en-GB"/>
        </w:rPr>
        <w:t>prior</w:t>
      </w:r>
      <w:r w:rsidRPr="000B42D7">
        <w:rPr>
          <w:rFonts w:eastAsiaTheme="minorEastAsia"/>
          <w:spacing w:val="-2"/>
          <w:sz w:val="20"/>
          <w:szCs w:val="20"/>
          <w:lang w:val="en-GB" w:eastAsia="en-GB"/>
        </w:rPr>
        <w:t xml:space="preserve"> </w:t>
      </w:r>
      <w:r w:rsidRPr="000B42D7">
        <w:rPr>
          <w:rFonts w:eastAsiaTheme="minorEastAsia"/>
          <w:sz w:val="20"/>
          <w:szCs w:val="20"/>
          <w:lang w:val="en-GB" w:eastAsia="en-GB"/>
        </w:rPr>
        <w:t>procedure</w:t>
      </w:r>
      <w:r w:rsidRPr="000B42D7">
        <w:rPr>
          <w:rFonts w:eastAsiaTheme="minorEastAsia"/>
          <w:spacing w:val="-3"/>
          <w:sz w:val="20"/>
          <w:szCs w:val="20"/>
          <w:lang w:val="en-GB" w:eastAsia="en-GB"/>
        </w:rPr>
        <w:t xml:space="preserve"> </w:t>
      </w:r>
      <w:r w:rsidRPr="000B42D7">
        <w:rPr>
          <w:rFonts w:eastAsiaTheme="minorEastAsia"/>
          <w:sz w:val="20"/>
          <w:szCs w:val="20"/>
          <w:lang w:val="en-GB" w:eastAsia="en-GB"/>
        </w:rPr>
        <w:t>in</w:t>
      </w:r>
      <w:r w:rsidRPr="000B42D7">
        <w:rPr>
          <w:rFonts w:eastAsiaTheme="minorEastAsia"/>
          <w:spacing w:val="-6"/>
          <w:sz w:val="20"/>
          <w:szCs w:val="20"/>
          <w:lang w:val="en-GB" w:eastAsia="en-GB"/>
        </w:rPr>
        <w:t xml:space="preserve"> </w:t>
      </w:r>
      <w:r w:rsidRPr="000B42D7">
        <w:rPr>
          <w:rFonts w:eastAsiaTheme="minorEastAsia"/>
          <w:sz w:val="20"/>
          <w:szCs w:val="20"/>
          <w:lang w:val="en-GB" w:eastAsia="en-GB"/>
        </w:rPr>
        <w:t>Government</w:t>
      </w:r>
      <w:r w:rsidRPr="000B42D7">
        <w:rPr>
          <w:rFonts w:eastAsiaTheme="minorEastAsia"/>
          <w:spacing w:val="-2"/>
          <w:sz w:val="20"/>
          <w:szCs w:val="20"/>
          <w:lang w:val="en-GB" w:eastAsia="en-GB"/>
        </w:rPr>
        <w:t xml:space="preserve"> </w:t>
      </w:r>
      <w:r w:rsidRPr="000B42D7">
        <w:rPr>
          <w:rFonts w:eastAsiaTheme="minorEastAsia"/>
          <w:sz w:val="20"/>
          <w:szCs w:val="20"/>
          <w:lang w:val="en-GB" w:eastAsia="en-GB"/>
        </w:rPr>
        <w:t>Notice</w:t>
      </w:r>
      <w:r w:rsidRPr="000B42D7">
        <w:rPr>
          <w:rFonts w:eastAsiaTheme="minorEastAsia"/>
          <w:spacing w:val="-4"/>
          <w:sz w:val="20"/>
          <w:szCs w:val="20"/>
          <w:lang w:val="en-GB" w:eastAsia="en-GB"/>
        </w:rPr>
        <w:t xml:space="preserve"> </w:t>
      </w:r>
      <w:r w:rsidRPr="000B42D7">
        <w:rPr>
          <w:rFonts w:eastAsiaTheme="minorEastAsia"/>
          <w:sz w:val="20"/>
          <w:szCs w:val="20"/>
          <w:lang w:val="en-GB" w:eastAsia="en-GB"/>
        </w:rPr>
        <w:t>1483</w:t>
      </w:r>
      <w:r w:rsidRPr="000B42D7">
        <w:rPr>
          <w:rFonts w:eastAsiaTheme="minorEastAsia"/>
          <w:spacing w:val="-6"/>
          <w:sz w:val="20"/>
          <w:szCs w:val="20"/>
          <w:lang w:val="en-GB" w:eastAsia="en-GB"/>
        </w:rPr>
        <w:t xml:space="preserve"> </w:t>
      </w:r>
      <w:r w:rsidRPr="000B42D7">
        <w:rPr>
          <w:rFonts w:eastAsiaTheme="minorEastAsia"/>
          <w:sz w:val="20"/>
          <w:szCs w:val="20"/>
          <w:lang w:val="en-GB" w:eastAsia="en-GB"/>
        </w:rPr>
        <w:t>in</w:t>
      </w:r>
      <w:r>
        <w:rPr>
          <w:rFonts w:eastAsiaTheme="minorEastAsia"/>
          <w:sz w:val="20"/>
          <w:szCs w:val="20"/>
          <w:lang w:val="en-GB" w:eastAsia="en-GB"/>
        </w:rPr>
        <w:t xml:space="preserve"> </w:t>
      </w:r>
      <w:r w:rsidRPr="000B42D7">
        <w:rPr>
          <w:rFonts w:eastAsiaTheme="minorEastAsia" w:cstheme="minorHAnsi"/>
          <w:i/>
          <w:iCs/>
          <w:sz w:val="20"/>
          <w:szCs w:val="20"/>
          <w:lang w:val="en-GB" w:eastAsia="en-GB"/>
        </w:rPr>
        <w:t xml:space="preserve">GG </w:t>
      </w:r>
      <w:r w:rsidRPr="000B42D7">
        <w:rPr>
          <w:rFonts w:eastAsiaTheme="minorEastAsia" w:cstheme="minorHAnsi"/>
          <w:sz w:val="20"/>
          <w:szCs w:val="20"/>
          <w:lang w:val="en-GB" w:eastAsia="en-GB"/>
        </w:rPr>
        <w:t>41362 of 29 December 2017, and is in force from 1 January 2018.</w:t>
      </w:r>
      <w:r w:rsidR="00630593">
        <w:rPr>
          <w:rFonts w:eastAsiaTheme="minorEastAsia" w:cstheme="minorHAnsi"/>
          <w:sz w:val="20"/>
          <w:szCs w:val="20"/>
          <w:lang w:val="en-GB" w:eastAsia="en-GB"/>
        </w:rPr>
        <w:t xml:space="preserve"> The Complaints Handling Procedure may be accessed on the website of the Commission: www.sahrc.org.za</w:t>
      </w:r>
    </w:p>
    <w:p w:rsidR="00957635" w:rsidRDefault="0095763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666" w:hanging="567"/>
      </w:pPr>
      <w:rPr>
        <w:rFonts w:ascii="Arial" w:hAnsi="Arial" w:cs="Arial"/>
        <w:b w:val="0"/>
        <w:bCs w:val="0"/>
        <w:w w:val="99"/>
        <w:sz w:val="24"/>
        <w:szCs w:val="24"/>
      </w:rPr>
    </w:lvl>
    <w:lvl w:ilvl="1">
      <w:start w:val="1"/>
      <w:numFmt w:val="decimal"/>
      <w:lvlText w:val="%1.%2"/>
      <w:lvlJc w:val="left"/>
      <w:pPr>
        <w:ind w:left="1348" w:hanging="682"/>
      </w:pPr>
      <w:rPr>
        <w:rFonts w:ascii="Arial" w:hAnsi="Arial" w:cs="Arial"/>
        <w:b w:val="0"/>
        <w:bCs w:val="0"/>
        <w:spacing w:val="-16"/>
        <w:w w:val="99"/>
        <w:sz w:val="24"/>
        <w:szCs w:val="24"/>
      </w:rPr>
    </w:lvl>
    <w:lvl w:ilvl="2">
      <w:start w:val="1"/>
      <w:numFmt w:val="decimal"/>
      <w:lvlText w:val="%1.%2.%3"/>
      <w:lvlJc w:val="left"/>
      <w:pPr>
        <w:ind w:left="2255" w:hanging="908"/>
      </w:pPr>
      <w:rPr>
        <w:rFonts w:ascii="Arial" w:hAnsi="Arial" w:cs="Arial"/>
        <w:b w:val="0"/>
        <w:bCs w:val="0"/>
        <w:spacing w:val="-2"/>
        <w:w w:val="99"/>
        <w:sz w:val="24"/>
        <w:szCs w:val="24"/>
      </w:rPr>
    </w:lvl>
    <w:lvl w:ilvl="3">
      <w:numFmt w:val="bullet"/>
      <w:lvlText w:val="•"/>
      <w:lvlJc w:val="left"/>
      <w:pPr>
        <w:ind w:left="3133" w:hanging="908"/>
      </w:pPr>
    </w:lvl>
    <w:lvl w:ilvl="4">
      <w:numFmt w:val="bullet"/>
      <w:lvlText w:val="•"/>
      <w:lvlJc w:val="left"/>
      <w:pPr>
        <w:ind w:left="4006" w:hanging="908"/>
      </w:pPr>
    </w:lvl>
    <w:lvl w:ilvl="5">
      <w:numFmt w:val="bullet"/>
      <w:lvlText w:val="•"/>
      <w:lvlJc w:val="left"/>
      <w:pPr>
        <w:ind w:left="4879" w:hanging="908"/>
      </w:pPr>
    </w:lvl>
    <w:lvl w:ilvl="6">
      <w:numFmt w:val="bullet"/>
      <w:lvlText w:val="•"/>
      <w:lvlJc w:val="left"/>
      <w:pPr>
        <w:ind w:left="5753" w:hanging="908"/>
      </w:pPr>
    </w:lvl>
    <w:lvl w:ilvl="7">
      <w:numFmt w:val="bullet"/>
      <w:lvlText w:val="•"/>
      <w:lvlJc w:val="left"/>
      <w:pPr>
        <w:ind w:left="6626" w:hanging="908"/>
      </w:pPr>
    </w:lvl>
    <w:lvl w:ilvl="8">
      <w:numFmt w:val="bullet"/>
      <w:lvlText w:val="•"/>
      <w:lvlJc w:val="left"/>
      <w:pPr>
        <w:ind w:left="7499" w:hanging="908"/>
      </w:pPr>
    </w:lvl>
  </w:abstractNum>
  <w:abstractNum w:abstractNumId="1" w15:restartNumberingAfterBreak="0">
    <w:nsid w:val="0000040A"/>
    <w:multiLevelType w:val="multilevel"/>
    <w:tmpl w:val="0000088D"/>
    <w:lvl w:ilvl="0">
      <w:start w:val="14"/>
      <w:numFmt w:val="decimal"/>
      <w:lvlText w:val="%1"/>
      <w:lvlJc w:val="left"/>
      <w:pPr>
        <w:ind w:left="1348" w:hanging="682"/>
      </w:pPr>
      <w:rPr>
        <w:rFonts w:cs="Times New Roman"/>
      </w:rPr>
    </w:lvl>
    <w:lvl w:ilvl="1">
      <w:start w:val="1"/>
      <w:numFmt w:val="decimal"/>
      <w:lvlText w:val="%1.%2"/>
      <w:lvlJc w:val="left"/>
      <w:pPr>
        <w:ind w:left="1348" w:hanging="682"/>
      </w:pPr>
      <w:rPr>
        <w:rFonts w:ascii="Arial" w:hAnsi="Arial" w:cs="Arial"/>
        <w:b w:val="0"/>
        <w:bCs w:val="0"/>
        <w:spacing w:val="-8"/>
        <w:w w:val="99"/>
        <w:sz w:val="24"/>
        <w:szCs w:val="24"/>
      </w:rPr>
    </w:lvl>
    <w:lvl w:ilvl="2">
      <w:start w:val="1"/>
      <w:numFmt w:val="decimal"/>
      <w:lvlText w:val="%1.%2.%3"/>
      <w:lvlJc w:val="left"/>
      <w:pPr>
        <w:ind w:left="2255" w:hanging="908"/>
      </w:pPr>
      <w:rPr>
        <w:rFonts w:ascii="Arial" w:hAnsi="Arial" w:cs="Arial"/>
        <w:b w:val="0"/>
        <w:bCs w:val="0"/>
        <w:spacing w:val="-28"/>
        <w:w w:val="99"/>
        <w:sz w:val="24"/>
        <w:szCs w:val="24"/>
      </w:rPr>
    </w:lvl>
    <w:lvl w:ilvl="3">
      <w:numFmt w:val="bullet"/>
      <w:lvlText w:val="•"/>
      <w:lvlJc w:val="left"/>
      <w:pPr>
        <w:ind w:left="3812" w:hanging="908"/>
      </w:pPr>
    </w:lvl>
    <w:lvl w:ilvl="4">
      <w:numFmt w:val="bullet"/>
      <w:lvlText w:val="•"/>
      <w:lvlJc w:val="left"/>
      <w:pPr>
        <w:ind w:left="4588" w:hanging="908"/>
      </w:pPr>
    </w:lvl>
    <w:lvl w:ilvl="5">
      <w:numFmt w:val="bullet"/>
      <w:lvlText w:val="•"/>
      <w:lvlJc w:val="left"/>
      <w:pPr>
        <w:ind w:left="5365" w:hanging="908"/>
      </w:pPr>
    </w:lvl>
    <w:lvl w:ilvl="6">
      <w:numFmt w:val="bullet"/>
      <w:lvlText w:val="•"/>
      <w:lvlJc w:val="left"/>
      <w:pPr>
        <w:ind w:left="6141" w:hanging="908"/>
      </w:pPr>
    </w:lvl>
    <w:lvl w:ilvl="7">
      <w:numFmt w:val="bullet"/>
      <w:lvlText w:val="•"/>
      <w:lvlJc w:val="left"/>
      <w:pPr>
        <w:ind w:left="6917" w:hanging="908"/>
      </w:pPr>
    </w:lvl>
    <w:lvl w:ilvl="8">
      <w:numFmt w:val="bullet"/>
      <w:lvlText w:val="•"/>
      <w:lvlJc w:val="left"/>
      <w:pPr>
        <w:ind w:left="7693" w:hanging="908"/>
      </w:pPr>
    </w:lvl>
  </w:abstractNum>
  <w:abstractNum w:abstractNumId="2" w15:restartNumberingAfterBreak="0">
    <w:nsid w:val="0000040F"/>
    <w:multiLevelType w:val="multilevel"/>
    <w:tmpl w:val="00000892"/>
    <w:lvl w:ilvl="0">
      <w:start w:val="36"/>
      <w:numFmt w:val="decimal"/>
      <w:lvlText w:val="%1"/>
      <w:lvlJc w:val="left"/>
      <w:pPr>
        <w:ind w:left="2255" w:hanging="908"/>
      </w:pPr>
      <w:rPr>
        <w:rFonts w:cs="Times New Roman"/>
      </w:rPr>
    </w:lvl>
    <w:lvl w:ilvl="1">
      <w:start w:val="1"/>
      <w:numFmt w:val="decimal"/>
      <w:lvlText w:val="%1.%2"/>
      <w:lvlJc w:val="left"/>
      <w:pPr>
        <w:ind w:left="2255" w:hanging="908"/>
      </w:pPr>
      <w:rPr>
        <w:rFonts w:cs="Times New Roman"/>
      </w:rPr>
    </w:lvl>
    <w:lvl w:ilvl="2">
      <w:start w:val="1"/>
      <w:numFmt w:val="decimal"/>
      <w:lvlText w:val="%1.%2.%3"/>
      <w:lvlJc w:val="left"/>
      <w:pPr>
        <w:ind w:left="2255" w:hanging="908"/>
      </w:pPr>
      <w:rPr>
        <w:rFonts w:ascii="Arial" w:hAnsi="Arial" w:cs="Arial"/>
        <w:b w:val="0"/>
        <w:bCs w:val="0"/>
        <w:spacing w:val="-3"/>
        <w:w w:val="99"/>
        <w:sz w:val="24"/>
        <w:szCs w:val="24"/>
      </w:rPr>
    </w:lvl>
    <w:lvl w:ilvl="3">
      <w:numFmt w:val="bullet"/>
      <w:lvlText w:val="•"/>
      <w:lvlJc w:val="left"/>
      <w:pPr>
        <w:ind w:left="4355" w:hanging="908"/>
      </w:pPr>
    </w:lvl>
    <w:lvl w:ilvl="4">
      <w:numFmt w:val="bullet"/>
      <w:lvlText w:val="•"/>
      <w:lvlJc w:val="left"/>
      <w:pPr>
        <w:ind w:left="5054" w:hanging="908"/>
      </w:pPr>
    </w:lvl>
    <w:lvl w:ilvl="5">
      <w:numFmt w:val="bullet"/>
      <w:lvlText w:val="•"/>
      <w:lvlJc w:val="left"/>
      <w:pPr>
        <w:ind w:left="5753" w:hanging="908"/>
      </w:pPr>
    </w:lvl>
    <w:lvl w:ilvl="6">
      <w:numFmt w:val="bullet"/>
      <w:lvlText w:val="•"/>
      <w:lvlJc w:val="left"/>
      <w:pPr>
        <w:ind w:left="6451" w:hanging="908"/>
      </w:pPr>
    </w:lvl>
    <w:lvl w:ilvl="7">
      <w:numFmt w:val="bullet"/>
      <w:lvlText w:val="•"/>
      <w:lvlJc w:val="left"/>
      <w:pPr>
        <w:ind w:left="7150" w:hanging="908"/>
      </w:pPr>
    </w:lvl>
    <w:lvl w:ilvl="8">
      <w:numFmt w:val="bullet"/>
      <w:lvlText w:val="•"/>
      <w:lvlJc w:val="left"/>
      <w:pPr>
        <w:ind w:left="7849" w:hanging="908"/>
      </w:pPr>
    </w:lvl>
  </w:abstractNum>
  <w:abstractNum w:abstractNumId="3" w15:restartNumberingAfterBreak="0">
    <w:nsid w:val="271D4B74"/>
    <w:multiLevelType w:val="multilevel"/>
    <w:tmpl w:val="B1CC6488"/>
    <w:lvl w:ilvl="0">
      <w:start w:val="1"/>
      <w:numFmt w:val="decimal"/>
      <w:lvlText w:val="%1."/>
      <w:lvlJc w:val="left"/>
      <w:pPr>
        <w:ind w:left="360" w:hanging="360"/>
      </w:pPr>
    </w:lvl>
    <w:lvl w:ilvl="1">
      <w:start w:val="1"/>
      <w:numFmt w:val="decimal"/>
      <w:lvlText w:val="%1.%2."/>
      <w:lvlJc w:val="left"/>
      <w:pPr>
        <w:ind w:left="432" w:hanging="432"/>
      </w:pPr>
      <w:rPr>
        <w:b w:val="0"/>
        <w:color w:val="000000" w:themeColor="text1"/>
      </w:rPr>
    </w:lvl>
    <w:lvl w:ilvl="2">
      <w:start w:val="1"/>
      <w:numFmt w:val="decimal"/>
      <w:lvlText w:val="%1.%2.%3."/>
      <w:lvlJc w:val="left"/>
      <w:pPr>
        <w:ind w:left="710" w:hanging="504"/>
      </w:pPr>
      <w:rPr>
        <w:b w:val="0"/>
      </w:rPr>
    </w:lvl>
    <w:lvl w:ilvl="3">
      <w:start w:val="1"/>
      <w:numFmt w:val="decimal"/>
      <w:lvlText w:val="%1.%2.%3.%4."/>
      <w:lvlJc w:val="left"/>
      <w:pPr>
        <w:ind w:left="932"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35EA1201"/>
    <w:multiLevelType w:val="multilevel"/>
    <w:tmpl w:val="F8707D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94A5D96"/>
    <w:multiLevelType w:val="multilevel"/>
    <w:tmpl w:val="12C2FD54"/>
    <w:numStyleLink w:val="ImportedStyle2"/>
  </w:abstractNum>
  <w:abstractNum w:abstractNumId="6" w15:restartNumberingAfterBreak="0">
    <w:nsid w:val="72F50083"/>
    <w:multiLevelType w:val="multilevel"/>
    <w:tmpl w:val="E5CC89CE"/>
    <w:lvl w:ilvl="0">
      <w:start w:val="1"/>
      <w:numFmt w:val="decimal"/>
      <w:lvlText w:val="%1."/>
      <w:lvlJc w:val="right"/>
      <w:pPr>
        <w:ind w:left="420" w:hanging="420"/>
      </w:pPr>
      <w:rPr>
        <w:rFonts w:hint="default"/>
        <w:b w:val="0"/>
        <w:i w:val="0"/>
      </w:rPr>
    </w:lvl>
    <w:lvl w:ilvl="1">
      <w:start w:val="1"/>
      <w:numFmt w:val="decimal"/>
      <w:lvlText w:val="%1.%2."/>
      <w:lvlJc w:val="right"/>
      <w:pPr>
        <w:ind w:left="454" w:hanging="166"/>
      </w:pPr>
      <w:rPr>
        <w:rFonts w:hint="default"/>
        <w:b w:val="0"/>
        <w:i w:val="0"/>
      </w:rPr>
    </w:lvl>
    <w:lvl w:ilvl="2">
      <w:start w:val="1"/>
      <w:numFmt w:val="decimal"/>
      <w:lvlText w:val="%1.%2.%3."/>
      <w:lvlJc w:val="left"/>
      <w:pPr>
        <w:ind w:left="938" w:hanging="796"/>
      </w:pPr>
      <w:rPr>
        <w:rFonts w:hint="default"/>
        <w:b w:val="0"/>
        <w:i w:val="0"/>
        <w:color w:val="auto"/>
      </w:rPr>
    </w:lvl>
    <w:lvl w:ilvl="3">
      <w:start w:val="1"/>
      <w:numFmt w:val="decimal"/>
      <w:lvlText w:val="%1.%2.%3.%4."/>
      <w:lvlJc w:val="left"/>
      <w:pPr>
        <w:ind w:left="1702" w:hanging="1418"/>
      </w:pPr>
      <w:rPr>
        <w:rFonts w:hint="default"/>
        <w:b w:val="0"/>
      </w:rPr>
    </w:lvl>
    <w:lvl w:ilvl="4">
      <w:start w:val="1"/>
      <w:numFmt w:val="lowerRoman"/>
      <w:lvlText w:val="%5."/>
      <w:lvlJc w:val="right"/>
      <w:pPr>
        <w:ind w:left="2126" w:hanging="283"/>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15:restartNumberingAfterBreak="0">
    <w:nsid w:val="77BA5A1A"/>
    <w:multiLevelType w:val="multilevel"/>
    <w:tmpl w:val="12C2FD54"/>
    <w:styleLink w:val="ImportedStyle2"/>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1.%2."/>
      <w:lvlJc w:val="left"/>
      <w:pPr>
        <w:tabs>
          <w:tab w:val="left" w:pos="990"/>
        </w:tabs>
        <w:ind w:left="900" w:hanging="5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1.%2.%3."/>
      <w:lvlJc w:val="left"/>
      <w:pPr>
        <w:tabs>
          <w:tab w:val="left" w:pos="900"/>
          <w:tab w:val="left" w:pos="990"/>
        </w:tabs>
        <w:ind w:left="1890" w:hanging="9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lvlText w:val="%1.%2.%3.%4."/>
      <w:lvlJc w:val="left"/>
      <w:pPr>
        <w:tabs>
          <w:tab w:val="left" w:pos="900"/>
          <w:tab w:val="left" w:pos="990"/>
        </w:tabs>
        <w:ind w:left="288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900"/>
          <w:tab w:val="left" w:pos="990"/>
        </w:tabs>
        <w:ind w:left="2700"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900"/>
          <w:tab w:val="left" w:pos="990"/>
        </w:tabs>
        <w:ind w:left="3060" w:hanging="1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900"/>
          <w:tab w:val="left" w:pos="990"/>
        </w:tabs>
        <w:ind w:left="3780" w:hanging="16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900"/>
          <w:tab w:val="left" w:pos="990"/>
        </w:tabs>
        <w:ind w:left="4140"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900"/>
          <w:tab w:val="left" w:pos="990"/>
        </w:tabs>
        <w:ind w:left="4860" w:hanging="19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lvlOverride w:ilvl="0">
      <w:startOverride w:val="1"/>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4"/>
      <w:lvl w:ilvl="1">
        <w:start w:val="4"/>
        <w:numFmt w:val="decimal"/>
        <w:suff w:val="nothing"/>
        <w:lvlText w:val="%1.%2."/>
        <w:lvlJc w:val="left"/>
        <w:pPr>
          <w:ind w:left="990" w:hanging="6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start w:val="1"/>
        <w:numFmt w:val="decimal"/>
        <w:lvlText w:val="%1.%2.%3."/>
        <w:lvlJc w:val="left"/>
        <w:pPr>
          <w:tabs>
            <w:tab w:val="num" w:pos="1980"/>
          </w:tabs>
          <w:ind w:left="2340" w:hanging="135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start w:val="1"/>
        <w:numFmt w:val="decimal"/>
        <w:lvlText w:val="%1.%2.%3.%4."/>
        <w:lvlJc w:val="left"/>
        <w:pPr>
          <w:tabs>
            <w:tab w:val="num" w:pos="2970"/>
          </w:tabs>
          <w:ind w:left="3330" w:hanging="1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2790"/>
          </w:tabs>
          <w:ind w:left="3150" w:hanging="1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3150"/>
          </w:tabs>
          <w:ind w:left="3510" w:hanging="1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3870"/>
          </w:tabs>
          <w:ind w:left="4230" w:hanging="20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4230"/>
          </w:tabs>
          <w:ind w:left="4590" w:hanging="20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4950"/>
          </w:tabs>
          <w:ind w:left="5310" w:hanging="2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09"/>
    <w:rsid w:val="000B42D7"/>
    <w:rsid w:val="000C2E4B"/>
    <w:rsid w:val="00105522"/>
    <w:rsid w:val="00123B3B"/>
    <w:rsid w:val="001B6B4D"/>
    <w:rsid w:val="002E615D"/>
    <w:rsid w:val="002F1892"/>
    <w:rsid w:val="003A216C"/>
    <w:rsid w:val="003A2BF1"/>
    <w:rsid w:val="0040159B"/>
    <w:rsid w:val="0044376D"/>
    <w:rsid w:val="004A41FF"/>
    <w:rsid w:val="00503C17"/>
    <w:rsid w:val="00534173"/>
    <w:rsid w:val="005907D7"/>
    <w:rsid w:val="005B5363"/>
    <w:rsid w:val="005C4596"/>
    <w:rsid w:val="005F3B9D"/>
    <w:rsid w:val="00630593"/>
    <w:rsid w:val="00641CF5"/>
    <w:rsid w:val="00665C82"/>
    <w:rsid w:val="00684503"/>
    <w:rsid w:val="00780DA8"/>
    <w:rsid w:val="00784142"/>
    <w:rsid w:val="00786B47"/>
    <w:rsid w:val="007A4944"/>
    <w:rsid w:val="00830004"/>
    <w:rsid w:val="00834A0A"/>
    <w:rsid w:val="00876A4C"/>
    <w:rsid w:val="00922392"/>
    <w:rsid w:val="00940B96"/>
    <w:rsid w:val="00957635"/>
    <w:rsid w:val="00986D08"/>
    <w:rsid w:val="009B35EE"/>
    <w:rsid w:val="009F08E5"/>
    <w:rsid w:val="00A10083"/>
    <w:rsid w:val="00A44709"/>
    <w:rsid w:val="00AA3B02"/>
    <w:rsid w:val="00AF51EB"/>
    <w:rsid w:val="00B10CE2"/>
    <w:rsid w:val="00B62ECD"/>
    <w:rsid w:val="00B87FE0"/>
    <w:rsid w:val="00BD7C1D"/>
    <w:rsid w:val="00C418B2"/>
    <w:rsid w:val="00C45813"/>
    <w:rsid w:val="00C63A91"/>
    <w:rsid w:val="00DA3C77"/>
    <w:rsid w:val="00DF32EA"/>
    <w:rsid w:val="00F17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DA9F"/>
  <w15:chartTrackingRefBased/>
  <w15:docId w15:val="{4A80A139-410E-4D7A-8505-93A60AF3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159B"/>
    <w:pPr>
      <w:pBdr>
        <w:top w:val="nil"/>
        <w:left w:val="nil"/>
        <w:bottom w:val="nil"/>
        <w:right w:val="nil"/>
        <w:between w:val="nil"/>
        <w:bar w:val="nil"/>
      </w:pBdr>
    </w:pPr>
    <w:rPr>
      <w:rFonts w:ascii="Calibri" w:eastAsia="Calibri" w:hAnsi="Calibri" w:cs="Calibri"/>
      <w:color w:val="000000"/>
      <w:u w:color="000000"/>
      <w:bdr w:val="nil"/>
      <w:lang w:eastAsia="en-ZA"/>
      <w14:textOutline w14:w="0" w14:cap="flat" w14:cmpd="sng" w14:algn="ctr">
        <w14:noFill/>
        <w14:prstDash w14:val="solid"/>
        <w14:bevel/>
      </w14:textOutline>
    </w:rPr>
  </w:style>
  <w:style w:type="numbering" w:customStyle="1" w:styleId="ImportedStyle2">
    <w:name w:val="Imported Style 2"/>
    <w:rsid w:val="0040159B"/>
    <w:pPr>
      <w:numPr>
        <w:numId w:val="1"/>
      </w:numPr>
    </w:pPr>
  </w:style>
  <w:style w:type="paragraph" w:styleId="ListParagraph">
    <w:name w:val="List Paragraph"/>
    <w:basedOn w:val="Normal"/>
    <w:link w:val="ListParagraphChar"/>
    <w:uiPriority w:val="1"/>
    <w:qFormat/>
    <w:rsid w:val="0040159B"/>
    <w:pPr>
      <w:spacing w:after="200" w:line="276" w:lineRule="auto"/>
      <w:ind w:left="720"/>
      <w:contextualSpacing/>
    </w:pPr>
    <w:rPr>
      <w:lang w:val="en-GB"/>
    </w:rPr>
  </w:style>
  <w:style w:type="character" w:customStyle="1" w:styleId="ListParagraphChar">
    <w:name w:val="List Paragraph Char"/>
    <w:link w:val="ListParagraph"/>
    <w:uiPriority w:val="1"/>
    <w:locked/>
    <w:rsid w:val="0040159B"/>
    <w:rPr>
      <w:lang w:val="en-GB"/>
    </w:rPr>
  </w:style>
  <w:style w:type="paragraph" w:styleId="FootnoteText">
    <w:name w:val="footnote text"/>
    <w:basedOn w:val="Normal"/>
    <w:link w:val="FootnoteTextChar"/>
    <w:uiPriority w:val="99"/>
    <w:semiHidden/>
    <w:unhideWhenUsed/>
    <w:rsid w:val="000B4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2D7"/>
    <w:rPr>
      <w:sz w:val="20"/>
      <w:szCs w:val="20"/>
    </w:rPr>
  </w:style>
  <w:style w:type="character" w:styleId="FootnoteReference">
    <w:name w:val="footnote reference"/>
    <w:basedOn w:val="DefaultParagraphFont"/>
    <w:uiPriority w:val="99"/>
    <w:semiHidden/>
    <w:unhideWhenUsed/>
    <w:rsid w:val="000B42D7"/>
    <w:rPr>
      <w:vertAlign w:val="superscript"/>
    </w:rPr>
  </w:style>
  <w:style w:type="paragraph" w:styleId="BodyText">
    <w:name w:val="Body Text"/>
    <w:basedOn w:val="Normal"/>
    <w:link w:val="BodyTextChar"/>
    <w:uiPriority w:val="99"/>
    <w:unhideWhenUsed/>
    <w:rsid w:val="000B42D7"/>
    <w:pPr>
      <w:spacing w:after="120"/>
    </w:pPr>
  </w:style>
  <w:style w:type="character" w:customStyle="1" w:styleId="BodyTextChar">
    <w:name w:val="Body Text Char"/>
    <w:basedOn w:val="DefaultParagraphFont"/>
    <w:link w:val="BodyText"/>
    <w:uiPriority w:val="99"/>
    <w:rsid w:val="000B42D7"/>
  </w:style>
  <w:style w:type="paragraph" w:styleId="Header">
    <w:name w:val="header"/>
    <w:basedOn w:val="Normal"/>
    <w:link w:val="HeaderChar"/>
    <w:uiPriority w:val="99"/>
    <w:unhideWhenUsed/>
    <w:rsid w:val="000B4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2D7"/>
  </w:style>
  <w:style w:type="paragraph" w:styleId="Footer">
    <w:name w:val="footer"/>
    <w:basedOn w:val="Normal"/>
    <w:link w:val="FooterChar"/>
    <w:uiPriority w:val="99"/>
    <w:unhideWhenUsed/>
    <w:rsid w:val="000B4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2D7"/>
  </w:style>
  <w:style w:type="character" w:styleId="CommentReference">
    <w:name w:val="annotation reference"/>
    <w:basedOn w:val="DefaultParagraphFont"/>
    <w:uiPriority w:val="99"/>
    <w:semiHidden/>
    <w:unhideWhenUsed/>
    <w:rsid w:val="00665C82"/>
    <w:rPr>
      <w:sz w:val="16"/>
      <w:szCs w:val="16"/>
    </w:rPr>
  </w:style>
  <w:style w:type="paragraph" w:styleId="CommentText">
    <w:name w:val="annotation text"/>
    <w:basedOn w:val="Normal"/>
    <w:link w:val="CommentTextChar"/>
    <w:uiPriority w:val="99"/>
    <w:unhideWhenUsed/>
    <w:rsid w:val="00665C82"/>
    <w:pPr>
      <w:spacing w:line="240" w:lineRule="auto"/>
    </w:pPr>
    <w:rPr>
      <w:sz w:val="20"/>
      <w:szCs w:val="20"/>
    </w:rPr>
  </w:style>
  <w:style w:type="character" w:customStyle="1" w:styleId="CommentTextChar">
    <w:name w:val="Comment Text Char"/>
    <w:basedOn w:val="DefaultParagraphFont"/>
    <w:link w:val="CommentText"/>
    <w:uiPriority w:val="99"/>
    <w:rsid w:val="00665C82"/>
    <w:rPr>
      <w:sz w:val="20"/>
      <w:szCs w:val="20"/>
    </w:rPr>
  </w:style>
  <w:style w:type="paragraph" w:styleId="CommentSubject">
    <w:name w:val="annotation subject"/>
    <w:basedOn w:val="CommentText"/>
    <w:next w:val="CommentText"/>
    <w:link w:val="CommentSubjectChar"/>
    <w:uiPriority w:val="99"/>
    <w:semiHidden/>
    <w:unhideWhenUsed/>
    <w:rsid w:val="00665C82"/>
    <w:rPr>
      <w:b/>
      <w:bCs/>
    </w:rPr>
  </w:style>
  <w:style w:type="character" w:customStyle="1" w:styleId="CommentSubjectChar">
    <w:name w:val="Comment Subject Char"/>
    <w:basedOn w:val="CommentTextChar"/>
    <w:link w:val="CommentSubject"/>
    <w:uiPriority w:val="99"/>
    <w:semiHidden/>
    <w:rsid w:val="00665C82"/>
    <w:rPr>
      <w:b/>
      <w:bCs/>
      <w:sz w:val="20"/>
      <w:szCs w:val="20"/>
    </w:rPr>
  </w:style>
  <w:style w:type="paragraph" w:styleId="BalloonText">
    <w:name w:val="Balloon Text"/>
    <w:basedOn w:val="Normal"/>
    <w:link w:val="BalloonTextChar"/>
    <w:uiPriority w:val="99"/>
    <w:semiHidden/>
    <w:unhideWhenUsed/>
    <w:rsid w:val="00DF3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A8F1-11DE-4DEE-BE2B-14A9A712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Buang Jones</dc:creator>
  <cp:keywords/>
  <dc:description/>
  <cp:lastModifiedBy>Buang Jones</cp:lastModifiedBy>
  <cp:revision>2</cp:revision>
  <dcterms:created xsi:type="dcterms:W3CDTF">2021-10-14T10:18:00Z</dcterms:created>
  <dcterms:modified xsi:type="dcterms:W3CDTF">2021-10-14T10:18:00Z</dcterms:modified>
</cp:coreProperties>
</file>